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3EB7B" w14:textId="5111B873" w:rsidR="00325536" w:rsidRDefault="007D3DB1">
      <w:pPr>
        <w:pBdr>
          <w:top w:val="nil"/>
          <w:left w:val="nil"/>
          <w:bottom w:val="nil"/>
          <w:right w:val="nil"/>
          <w:between w:val="nil"/>
        </w:pBdr>
        <w:spacing w:line="360" w:lineRule="auto"/>
      </w:pPr>
      <w:r>
        <w:rPr>
          <w:noProof/>
          <w:lang w:val="fr-CA"/>
        </w:rPr>
        <w:drawing>
          <wp:inline distT="0" distB="0" distL="0" distR="0" wp14:anchorId="4AAECAC3" wp14:editId="3CB1D39B">
            <wp:extent cx="187207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885" cy="812140"/>
                    </a:xfrm>
                    <a:prstGeom prst="rect">
                      <a:avLst/>
                    </a:prstGeom>
                    <a:noFill/>
                    <a:ln>
                      <a:noFill/>
                    </a:ln>
                  </pic:spPr>
                </pic:pic>
              </a:graphicData>
            </a:graphic>
          </wp:inline>
        </w:drawing>
      </w:r>
    </w:p>
    <w:p w14:paraId="06CD80DD" w14:textId="54A10406" w:rsidR="00325536" w:rsidRDefault="00325536">
      <w:pPr>
        <w:pStyle w:val="Title"/>
        <w:pBdr>
          <w:top w:val="nil"/>
          <w:left w:val="nil"/>
          <w:bottom w:val="nil"/>
          <w:right w:val="nil"/>
          <w:between w:val="nil"/>
        </w:pBdr>
        <w:spacing w:line="360" w:lineRule="auto"/>
      </w:pPr>
      <w:bookmarkStart w:id="0" w:name="_heading=h.gjdgxs" w:colFirst="0" w:colLast="0"/>
      <w:bookmarkEnd w:id="0"/>
    </w:p>
    <w:p w14:paraId="14D55416" w14:textId="77777777" w:rsidR="00325536" w:rsidRDefault="00325536">
      <w:pPr>
        <w:pStyle w:val="Title"/>
        <w:pBdr>
          <w:top w:val="nil"/>
          <w:left w:val="nil"/>
          <w:bottom w:val="nil"/>
          <w:right w:val="nil"/>
          <w:between w:val="nil"/>
        </w:pBdr>
        <w:spacing w:line="360" w:lineRule="auto"/>
        <w:rPr>
          <w:sz w:val="20"/>
          <w:szCs w:val="20"/>
        </w:rPr>
      </w:pPr>
    </w:p>
    <w:p w14:paraId="57079380" w14:textId="77777777" w:rsidR="00325536" w:rsidRDefault="00325536">
      <w:pPr>
        <w:pStyle w:val="Title"/>
        <w:pBdr>
          <w:top w:val="nil"/>
          <w:left w:val="nil"/>
          <w:bottom w:val="nil"/>
          <w:right w:val="nil"/>
          <w:between w:val="nil"/>
        </w:pBdr>
        <w:spacing w:line="360" w:lineRule="auto"/>
        <w:rPr>
          <w:sz w:val="20"/>
          <w:szCs w:val="20"/>
        </w:rPr>
      </w:pPr>
    </w:p>
    <w:p w14:paraId="58B28897" w14:textId="77777777" w:rsidR="00325536" w:rsidRDefault="00325536">
      <w:pPr>
        <w:pStyle w:val="Title"/>
        <w:pBdr>
          <w:top w:val="nil"/>
          <w:left w:val="nil"/>
          <w:bottom w:val="nil"/>
          <w:right w:val="nil"/>
          <w:between w:val="nil"/>
        </w:pBdr>
        <w:spacing w:line="360" w:lineRule="auto"/>
        <w:rPr>
          <w:sz w:val="20"/>
          <w:szCs w:val="20"/>
        </w:rPr>
      </w:pPr>
    </w:p>
    <w:p w14:paraId="542EE2B2" w14:textId="0397BFED" w:rsidR="00325536" w:rsidRPr="0073515D" w:rsidRDefault="00553B4B" w:rsidP="0073515D">
      <w:pPr>
        <w:pStyle w:val="ListParagraph"/>
        <w:spacing w:line="276" w:lineRule="auto"/>
        <w:ind w:hanging="360"/>
        <w:jc w:val="center"/>
        <w:rPr>
          <w:rFonts w:ascii="Futura LT Pro Book" w:hAnsi="Futura LT Pro Book" w:cs="Arial"/>
          <w:b/>
          <w:color w:val="005FB6"/>
          <w:sz w:val="32"/>
          <w:szCs w:val="32"/>
          <w:lang w:val="fr-CA"/>
        </w:rPr>
      </w:pPr>
      <w:r w:rsidRPr="0073515D">
        <w:rPr>
          <w:rFonts w:ascii="Futura LT Pro Book" w:hAnsi="Futura LT Pro Book" w:cs="Arial"/>
          <w:b/>
          <w:color w:val="005FB6"/>
          <w:sz w:val="32"/>
          <w:szCs w:val="32"/>
          <w:lang w:val="fr-CA"/>
        </w:rPr>
        <w:t>TERMES DE RÉFÉRENCE</w:t>
      </w:r>
    </w:p>
    <w:p w14:paraId="25BB9856" w14:textId="77777777" w:rsidR="00325536" w:rsidRPr="0073515D" w:rsidRDefault="00A56C8E" w:rsidP="0073515D">
      <w:pPr>
        <w:pStyle w:val="ListParagraph"/>
        <w:spacing w:line="276" w:lineRule="auto"/>
        <w:ind w:hanging="360"/>
        <w:jc w:val="center"/>
        <w:rPr>
          <w:rFonts w:ascii="Futura LT Pro Book" w:hAnsi="Futura LT Pro Book" w:cs="Arial"/>
          <w:b/>
          <w:color w:val="005FB6"/>
          <w:sz w:val="32"/>
          <w:szCs w:val="32"/>
          <w:lang w:val="fr-CA"/>
        </w:rPr>
      </w:pPr>
      <w:r w:rsidRPr="0073515D">
        <w:rPr>
          <w:rFonts w:ascii="Futura LT Pro Book" w:hAnsi="Futura LT Pro Book" w:cs="Arial"/>
          <w:b/>
          <w:color w:val="005FB6"/>
          <w:sz w:val="32"/>
          <w:szCs w:val="32"/>
          <w:lang w:val="fr-CA"/>
        </w:rPr>
        <w:t>Baseline</w:t>
      </w:r>
    </w:p>
    <w:p w14:paraId="28CFF4A2" w14:textId="77777777" w:rsidR="00325536" w:rsidRPr="00D236A1" w:rsidRDefault="00325536">
      <w:pPr>
        <w:pStyle w:val="Title"/>
        <w:pBdr>
          <w:top w:val="nil"/>
          <w:left w:val="nil"/>
          <w:bottom w:val="nil"/>
          <w:right w:val="nil"/>
          <w:between w:val="nil"/>
        </w:pBdr>
        <w:spacing w:line="360" w:lineRule="auto"/>
        <w:rPr>
          <w:rFonts w:ascii="Lato Medium" w:hAnsi="Lato Medium"/>
          <w:sz w:val="20"/>
          <w:szCs w:val="20"/>
        </w:rPr>
      </w:pPr>
    </w:p>
    <w:p w14:paraId="4CE8B914" w14:textId="77777777" w:rsidR="00325536" w:rsidRPr="00D236A1" w:rsidRDefault="00325536">
      <w:pPr>
        <w:pStyle w:val="Title"/>
        <w:pBdr>
          <w:top w:val="nil"/>
          <w:left w:val="nil"/>
          <w:bottom w:val="nil"/>
          <w:right w:val="nil"/>
          <w:between w:val="nil"/>
        </w:pBdr>
        <w:spacing w:line="360" w:lineRule="auto"/>
        <w:rPr>
          <w:rFonts w:ascii="Lato Medium" w:hAnsi="Lato Medium"/>
          <w:sz w:val="20"/>
          <w:szCs w:val="20"/>
        </w:rPr>
      </w:pPr>
    </w:p>
    <w:p w14:paraId="17110005" w14:textId="314293BA" w:rsidR="00325536" w:rsidRPr="00D236A1" w:rsidRDefault="00A56C8E" w:rsidP="0073515D">
      <w:pPr>
        <w:pStyle w:val="ListParagraph"/>
        <w:spacing w:line="276" w:lineRule="auto"/>
        <w:ind w:hanging="360"/>
        <w:jc w:val="center"/>
        <w:rPr>
          <w:rFonts w:ascii="Lato Medium" w:hAnsi="Lato Medium"/>
          <w:i/>
          <w:sz w:val="34"/>
          <w:szCs w:val="34"/>
        </w:rPr>
      </w:pPr>
      <w:bookmarkStart w:id="1" w:name="_Hlk88912730"/>
      <w:r w:rsidRPr="0073515D">
        <w:rPr>
          <w:rFonts w:ascii="Futura LT Pro Book" w:hAnsi="Futura LT Pro Book" w:cs="Arial"/>
          <w:b/>
          <w:color w:val="005FB6"/>
          <w:sz w:val="32"/>
          <w:szCs w:val="32"/>
          <w:lang w:val="fr-CA"/>
        </w:rPr>
        <w:t>P</w:t>
      </w:r>
      <w:r w:rsidR="00401E2C">
        <w:rPr>
          <w:rFonts w:ascii="Futura LT Pro Book" w:hAnsi="Futura LT Pro Book" w:cs="Arial"/>
          <w:b/>
          <w:color w:val="005FB6"/>
          <w:sz w:val="32"/>
          <w:szCs w:val="32"/>
          <w:lang w:val="fr-CA"/>
        </w:rPr>
        <w:t>r</w:t>
      </w:r>
      <w:r w:rsidRPr="0073515D">
        <w:rPr>
          <w:rFonts w:ascii="Futura LT Pro Book" w:hAnsi="Futura LT Pro Book" w:cs="Arial"/>
          <w:b/>
          <w:color w:val="005FB6"/>
          <w:sz w:val="32"/>
          <w:szCs w:val="32"/>
          <w:lang w:val="fr-CA"/>
        </w:rPr>
        <w:t xml:space="preserve">ogramme de </w:t>
      </w:r>
      <w:r w:rsidR="00553B4B" w:rsidRPr="0073515D">
        <w:rPr>
          <w:rFonts w:ascii="Futura LT Pro Book" w:hAnsi="Futura LT Pro Book" w:cs="Arial"/>
          <w:b/>
          <w:color w:val="005FB6"/>
          <w:sz w:val="32"/>
          <w:szCs w:val="32"/>
          <w:lang w:val="fr-CA"/>
        </w:rPr>
        <w:t>Résilience</w:t>
      </w:r>
      <w:r w:rsidRPr="0073515D">
        <w:rPr>
          <w:rFonts w:ascii="Futura LT Pro Book" w:hAnsi="Futura LT Pro Book" w:cs="Arial"/>
          <w:b/>
          <w:color w:val="005FB6"/>
          <w:sz w:val="32"/>
          <w:szCs w:val="32"/>
          <w:lang w:val="fr-CA"/>
        </w:rPr>
        <w:t xml:space="preserve"> et de cohésion Sociale au Sahel (PROGRESS)</w:t>
      </w:r>
      <w:r w:rsidRPr="00D236A1">
        <w:rPr>
          <w:rFonts w:ascii="Lato Medium" w:hAnsi="Lato Medium"/>
          <w:b/>
          <w:sz w:val="34"/>
          <w:szCs w:val="34"/>
        </w:rPr>
        <w:t xml:space="preserve"> </w:t>
      </w:r>
    </w:p>
    <w:bookmarkEnd w:id="1"/>
    <w:p w14:paraId="023A8BCC" w14:textId="77777777" w:rsidR="00325536" w:rsidRDefault="00325536">
      <w:pPr>
        <w:pStyle w:val="Subtitle"/>
        <w:pBdr>
          <w:top w:val="nil"/>
          <w:left w:val="nil"/>
          <w:bottom w:val="nil"/>
          <w:right w:val="nil"/>
          <w:between w:val="nil"/>
        </w:pBdr>
        <w:spacing w:line="360" w:lineRule="auto"/>
        <w:rPr>
          <w:rFonts w:ascii="Times New Roman" w:eastAsia="Times New Roman" w:hAnsi="Times New Roman" w:cs="Times New Roman"/>
          <w:sz w:val="20"/>
          <w:szCs w:val="20"/>
        </w:rPr>
      </w:pPr>
    </w:p>
    <w:p w14:paraId="1B11CBA2" w14:textId="77777777" w:rsidR="00325536" w:rsidRDefault="00325536">
      <w:pPr>
        <w:pBdr>
          <w:top w:val="nil"/>
          <w:left w:val="nil"/>
          <w:bottom w:val="nil"/>
          <w:right w:val="nil"/>
          <w:between w:val="nil"/>
        </w:pBdr>
        <w:spacing w:line="360" w:lineRule="auto"/>
      </w:pPr>
    </w:p>
    <w:p w14:paraId="14BDB403" w14:textId="77777777" w:rsidR="00325536" w:rsidRDefault="00325536">
      <w:pPr>
        <w:pBdr>
          <w:top w:val="nil"/>
          <w:left w:val="nil"/>
          <w:bottom w:val="nil"/>
          <w:right w:val="nil"/>
          <w:between w:val="nil"/>
        </w:pBdr>
        <w:spacing w:line="360" w:lineRule="auto"/>
        <w:jc w:val="center"/>
        <w:rPr>
          <w:b/>
          <w:sz w:val="28"/>
          <w:szCs w:val="28"/>
        </w:rPr>
      </w:pPr>
    </w:p>
    <w:p w14:paraId="4CAF9D5F" w14:textId="77777777" w:rsidR="00325536" w:rsidRDefault="00325536">
      <w:pPr>
        <w:pBdr>
          <w:top w:val="nil"/>
          <w:left w:val="nil"/>
          <w:bottom w:val="nil"/>
          <w:right w:val="nil"/>
          <w:between w:val="nil"/>
        </w:pBdr>
        <w:spacing w:line="360" w:lineRule="auto"/>
        <w:jc w:val="center"/>
        <w:rPr>
          <w:b/>
          <w:sz w:val="28"/>
          <w:szCs w:val="28"/>
        </w:rPr>
      </w:pPr>
    </w:p>
    <w:p w14:paraId="08352DE4" w14:textId="12931674" w:rsidR="00325536" w:rsidRPr="00D236A1" w:rsidRDefault="00D236A1">
      <w:pPr>
        <w:pBdr>
          <w:top w:val="nil"/>
          <w:left w:val="nil"/>
          <w:bottom w:val="nil"/>
          <w:right w:val="nil"/>
          <w:between w:val="nil"/>
        </w:pBdr>
        <w:spacing w:line="360" w:lineRule="auto"/>
        <w:jc w:val="center"/>
        <w:rPr>
          <w:rFonts w:ascii="Lato Medium" w:hAnsi="Lato Medium"/>
          <w:sz w:val="18"/>
          <w:szCs w:val="18"/>
        </w:rPr>
      </w:pPr>
      <w:r w:rsidRPr="00D236A1">
        <w:rPr>
          <w:rFonts w:ascii="Lato Medium" w:hAnsi="Lato Medium"/>
          <w:b/>
          <w:sz w:val="28"/>
          <w:szCs w:val="28"/>
        </w:rPr>
        <w:t>Novembre</w:t>
      </w:r>
      <w:r w:rsidR="00A56C8E" w:rsidRPr="00D236A1">
        <w:rPr>
          <w:rFonts w:ascii="Lato Medium" w:hAnsi="Lato Medium"/>
          <w:b/>
          <w:sz w:val="28"/>
          <w:szCs w:val="28"/>
        </w:rPr>
        <w:t xml:space="preserve"> 2021</w:t>
      </w:r>
    </w:p>
    <w:p w14:paraId="7B2E3846" w14:textId="77777777" w:rsidR="00325536" w:rsidRDefault="00325536">
      <w:pPr>
        <w:pBdr>
          <w:top w:val="nil"/>
          <w:left w:val="nil"/>
          <w:bottom w:val="nil"/>
          <w:right w:val="nil"/>
          <w:between w:val="nil"/>
        </w:pBdr>
        <w:spacing w:line="360" w:lineRule="auto"/>
      </w:pPr>
    </w:p>
    <w:p w14:paraId="3731DB54" w14:textId="77777777" w:rsidR="00325536" w:rsidRDefault="00325536">
      <w:pPr>
        <w:pBdr>
          <w:top w:val="nil"/>
          <w:left w:val="nil"/>
          <w:bottom w:val="nil"/>
          <w:right w:val="nil"/>
          <w:between w:val="nil"/>
        </w:pBdr>
        <w:spacing w:line="360" w:lineRule="auto"/>
      </w:pPr>
    </w:p>
    <w:p w14:paraId="0EB7EFC6" w14:textId="49411DEF" w:rsidR="00325536" w:rsidRDefault="00325536">
      <w:pPr>
        <w:pBdr>
          <w:top w:val="nil"/>
          <w:left w:val="nil"/>
          <w:bottom w:val="nil"/>
          <w:right w:val="nil"/>
          <w:between w:val="nil"/>
        </w:pBdr>
        <w:spacing w:line="360" w:lineRule="auto"/>
      </w:pPr>
    </w:p>
    <w:p w14:paraId="6226274C" w14:textId="77777777" w:rsidR="00D9621C" w:rsidRDefault="00D9621C">
      <w:pPr>
        <w:pBdr>
          <w:top w:val="nil"/>
          <w:left w:val="nil"/>
          <w:bottom w:val="nil"/>
          <w:right w:val="nil"/>
          <w:between w:val="nil"/>
        </w:pBdr>
        <w:spacing w:line="360" w:lineRule="auto"/>
      </w:pPr>
    </w:p>
    <w:p w14:paraId="1284637B" w14:textId="77777777" w:rsidR="0073515D" w:rsidRDefault="00A56C8E">
      <w:pPr>
        <w:pBdr>
          <w:top w:val="nil"/>
          <w:left w:val="nil"/>
          <w:bottom w:val="nil"/>
          <w:right w:val="nil"/>
          <w:between w:val="nil"/>
        </w:pBdr>
        <w:spacing w:line="360" w:lineRule="auto"/>
      </w:pPr>
      <w:r>
        <w:tab/>
      </w:r>
    </w:p>
    <w:p w14:paraId="3A823408" w14:textId="77777777" w:rsidR="0073515D" w:rsidRDefault="0073515D">
      <w:pPr>
        <w:pBdr>
          <w:top w:val="nil"/>
          <w:left w:val="nil"/>
          <w:bottom w:val="nil"/>
          <w:right w:val="nil"/>
          <w:between w:val="nil"/>
        </w:pBdr>
        <w:spacing w:line="360" w:lineRule="auto"/>
      </w:pPr>
    </w:p>
    <w:p w14:paraId="5E6EC64E" w14:textId="77777777" w:rsidR="0073515D" w:rsidRDefault="0073515D">
      <w:pPr>
        <w:pBdr>
          <w:top w:val="nil"/>
          <w:left w:val="nil"/>
          <w:bottom w:val="nil"/>
          <w:right w:val="nil"/>
          <w:between w:val="nil"/>
        </w:pBdr>
        <w:spacing w:line="360" w:lineRule="auto"/>
      </w:pPr>
    </w:p>
    <w:p w14:paraId="3E33ECEF" w14:textId="77777777" w:rsidR="0073515D" w:rsidRDefault="0073515D">
      <w:pPr>
        <w:pBdr>
          <w:top w:val="nil"/>
          <w:left w:val="nil"/>
          <w:bottom w:val="nil"/>
          <w:right w:val="nil"/>
          <w:between w:val="nil"/>
        </w:pBdr>
        <w:spacing w:line="360" w:lineRule="auto"/>
      </w:pPr>
    </w:p>
    <w:p w14:paraId="417632A1" w14:textId="5ABA7554" w:rsidR="00325536" w:rsidRDefault="00A56C8E">
      <w:pPr>
        <w:pBdr>
          <w:top w:val="nil"/>
          <w:left w:val="nil"/>
          <w:bottom w:val="nil"/>
          <w:right w:val="nil"/>
          <w:between w:val="nil"/>
        </w:pBdr>
        <w:spacing w:line="360" w:lineRule="auto"/>
        <w:rPr>
          <w:b/>
          <w:i/>
        </w:rPr>
      </w:pPr>
      <w:r>
        <w:tab/>
      </w:r>
      <w:r>
        <w:tab/>
      </w:r>
      <w:r>
        <w:tab/>
      </w:r>
    </w:p>
    <w:p w14:paraId="6E813110" w14:textId="16F3DF45" w:rsidR="00325536" w:rsidRDefault="00A56C8E" w:rsidP="00D236A1">
      <w:pPr>
        <w:pStyle w:val="Heading1"/>
      </w:pPr>
      <w:bookmarkStart w:id="2" w:name="_heading=h.30j0zll" w:colFirst="0" w:colLast="0"/>
      <w:bookmarkEnd w:id="2"/>
      <w:r w:rsidRPr="00D236A1">
        <w:lastRenderedPageBreak/>
        <w:t>Contexte</w:t>
      </w:r>
    </w:p>
    <w:p w14:paraId="6D442633" w14:textId="77777777" w:rsidR="00325536" w:rsidRPr="00D236A1" w:rsidRDefault="00A56C8E" w:rsidP="00E23368">
      <w:pPr>
        <w:spacing w:after="60"/>
        <w:jc w:val="both"/>
        <w:rPr>
          <w:rFonts w:ascii="Lato Medium" w:hAnsi="Lato Medium" w:cs="Arial"/>
        </w:rPr>
      </w:pPr>
      <w:bookmarkStart w:id="3" w:name="_heading=h.1fob9te" w:colFirst="0" w:colLast="0"/>
      <w:bookmarkEnd w:id="3"/>
      <w:r w:rsidRPr="00D236A1">
        <w:rPr>
          <w:rFonts w:ascii="Lato Medium" w:hAnsi="Lato Medium" w:cs="Arial"/>
        </w:rPr>
        <w:t>Les zones transfrontalières entre le Burkina Faso, Mali, et Niger sont confrontées à la fois à des enjeux sécuritaires complexes et à de fortes vulnérabilités économiques et sociales. En milieu rural, les systèmes de production sont basés, selon les zones et les ethnies, sur une production majoritairement céréalière (sorgho, mil, maïs, riz) dépendant de la pluie, le petit élevage et/ou l’élevage transhumant. Ces systèmes de production présentent des vulnérabilités aux effets du changement climatique (perturbation du régime pluviométrique entraînant une augmentation de la fréquence du phénomène des « poches de sécheresse » et des inondations) et à l’augmentation de la pression sur les ressources naturelles (foncier agricole versus pâturage et couloir de transhumance ; eau d’irrigation versus point d’eau pastoral ; forêts).</w:t>
      </w:r>
    </w:p>
    <w:p w14:paraId="6A7A683D" w14:textId="77777777" w:rsidR="00325536" w:rsidRPr="00D236A1" w:rsidRDefault="00A56C8E" w:rsidP="00E23368">
      <w:pPr>
        <w:pBdr>
          <w:top w:val="nil"/>
          <w:left w:val="nil"/>
          <w:bottom w:val="nil"/>
          <w:right w:val="nil"/>
          <w:between w:val="nil"/>
        </w:pBdr>
        <w:spacing w:after="120"/>
        <w:jc w:val="both"/>
        <w:rPr>
          <w:rFonts w:ascii="Lato Medium" w:hAnsi="Lato Medium" w:cs="Arial"/>
        </w:rPr>
      </w:pPr>
      <w:r w:rsidRPr="00D236A1">
        <w:rPr>
          <w:rFonts w:ascii="Lato Medium" w:hAnsi="Lato Medium" w:cs="Arial"/>
          <w:color w:val="000000"/>
        </w:rPr>
        <w:t>Au Niger, par exemple, 247 incidents</w:t>
      </w:r>
      <w:r w:rsidRPr="00D236A1">
        <w:rPr>
          <w:rFonts w:ascii="Lato Medium" w:hAnsi="Lato Medium" w:cs="Arial"/>
          <w:color w:val="000000"/>
          <w:vertAlign w:val="superscript"/>
        </w:rPr>
        <w:footnoteReference w:id="1"/>
      </w:r>
      <w:r w:rsidRPr="00D236A1">
        <w:rPr>
          <w:rFonts w:ascii="Lato Medium" w:hAnsi="Lato Medium" w:cs="Arial"/>
          <w:color w:val="000000"/>
        </w:rPr>
        <w:t xml:space="preserve"> de protection ont été enregistrés entre novembre et décembre 2020 dans la région de Tahoua et de </w:t>
      </w:r>
      <w:proofErr w:type="spellStart"/>
      <w:r w:rsidRPr="00D236A1">
        <w:rPr>
          <w:rFonts w:ascii="Lato Medium" w:hAnsi="Lato Medium" w:cs="Arial"/>
        </w:rPr>
        <w:t>Tillabéri</w:t>
      </w:r>
      <w:proofErr w:type="spellEnd"/>
      <w:r w:rsidRPr="00D236A1">
        <w:rPr>
          <w:rFonts w:ascii="Lato Medium" w:hAnsi="Lato Medium" w:cs="Arial"/>
        </w:rPr>
        <w:t>. Parmi les conséquences visibles, on y trouve une augmentation des déplacements de populations, ayant pour impact une accentuation des problématiques locales inter-communautés et d’accès aux services de base préexistants.</w:t>
      </w:r>
    </w:p>
    <w:p w14:paraId="74FDD3C8" w14:textId="77777777" w:rsidR="00325536" w:rsidRPr="00D236A1" w:rsidRDefault="00A56C8E" w:rsidP="00E23368">
      <w:pPr>
        <w:pBdr>
          <w:top w:val="nil"/>
          <w:left w:val="nil"/>
          <w:bottom w:val="nil"/>
          <w:right w:val="nil"/>
          <w:between w:val="nil"/>
        </w:pBdr>
        <w:spacing w:after="120"/>
        <w:jc w:val="both"/>
        <w:rPr>
          <w:rFonts w:ascii="Lato Medium" w:hAnsi="Lato Medium"/>
          <w:color w:val="000000"/>
        </w:rPr>
      </w:pPr>
      <w:r w:rsidRPr="00D236A1">
        <w:rPr>
          <w:rFonts w:ascii="Lato Medium" w:hAnsi="Lato Medium" w:cs="Arial"/>
          <w:color w:val="000000"/>
        </w:rPr>
        <w:t xml:space="preserve">L’examen de la dynamique des conflits montre la prépondérance des conflits fonciers et entre agriculteurs et éleveurs, qui sont caractérisés par des pics saisonniers. Le caractère transfrontalier des localités cibles joue également un rôle important dans le type de conflits recensés. La région enregistre des mouvements migratoires importants, avec des cheptels maliens et burkinabè qui se partagent des réserves de pâturage et zones de transhumance communes. Or, ce cheptel fait déjà face à une situation alimentaire difficile due aux zones de parcours qui ont été fortement réduites par l’extension des terres agricoles. L’amenuisement des ressources pastorales </w:t>
      </w:r>
      <w:proofErr w:type="gramStart"/>
      <w:r w:rsidRPr="00D236A1">
        <w:rPr>
          <w:rFonts w:ascii="Lato Medium" w:hAnsi="Lato Medium" w:cs="Arial"/>
          <w:color w:val="000000"/>
        </w:rPr>
        <w:t>suite aux</w:t>
      </w:r>
      <w:proofErr w:type="gramEnd"/>
      <w:r w:rsidRPr="00D236A1">
        <w:rPr>
          <w:rFonts w:ascii="Lato Medium" w:hAnsi="Lato Medium" w:cs="Arial"/>
          <w:color w:val="000000"/>
        </w:rPr>
        <w:t xml:space="preserve"> cycles de sécheresse et à la concentration des animaux contribuent à attiser les tensions autour de l’exploitation des pâturages, des terres salées et des points d’eau. On observe ainsi au cours de ces dernières années la montée d’un discours sur l'autochtonie et l’inaliénabilité des terres visant à légitimer l’appropriation foncière par certaines collectivités se considérant « autochtones » au détriment des autres dites « allogènes » et visant à remettre en cause les conventions foncières conclues par leurs parents. Ces revendications, prônées par certains acteurs locaux et insuffisamment prises en compte par les pouvoirs publics, fragilisent les relations intercommunautaires et communautés d’éleveurs-états et renforcent les sentiments d’injustice et de marginalisation sociale ; avec un risque de récupération par les groupes extrémistes violents à des fins diverses.</w:t>
      </w:r>
      <w:r w:rsidRPr="00D236A1">
        <w:rPr>
          <w:rFonts w:ascii="Lato Medium" w:hAnsi="Lato Medium"/>
          <w:color w:val="000000"/>
        </w:rPr>
        <w:t xml:space="preserve"> </w:t>
      </w:r>
    </w:p>
    <w:p w14:paraId="48B2A7E0" w14:textId="77777777" w:rsidR="00325536" w:rsidRDefault="00A56C8E" w:rsidP="00D236A1">
      <w:pPr>
        <w:pStyle w:val="Heading1"/>
      </w:pPr>
      <w:bookmarkStart w:id="4" w:name="_heading=h.3znysh7" w:colFirst="0" w:colLast="0"/>
      <w:bookmarkEnd w:id="4"/>
      <w:r>
        <w:t>Le Projet</w:t>
      </w:r>
    </w:p>
    <w:p w14:paraId="732A8640" w14:textId="79C2C3FD" w:rsidR="00627D5E" w:rsidRPr="00627D5E" w:rsidRDefault="00627D5E" w:rsidP="00627D5E">
      <w:pPr>
        <w:pStyle w:val="Default"/>
        <w:jc w:val="both"/>
      </w:pPr>
      <w:r w:rsidRPr="00627D5E">
        <w:rPr>
          <w:rFonts w:ascii="Lato Medium" w:hAnsi="Lato Medium"/>
        </w:rPr>
        <w:t xml:space="preserve">Le consortium PROGRESS a sélectionné 21 communes des zones transfrontalières entre le Mali, le Burkina-Faso et le Niger d’après l’analyse des vulnérabilités en termes d’insécurité alimentaire et nutritionnelle, l’analyse des besoins non couverts et la capacité </w:t>
      </w:r>
      <w:r w:rsidRPr="00627D5E">
        <w:rPr>
          <w:rFonts w:ascii="Lato Medium" w:hAnsi="Lato Medium"/>
        </w:rPr>
        <w:lastRenderedPageBreak/>
        <w:t>avérée des membres du consortium à y mettre en œuvre un projet multisectoriel intégré. L’objectif général du projet vise à « Améliorer les conditions de vie, la résilience à l’insécurité alimentaire et nutritionnelle et face aux conflits et la cohésion sociale des populations vulnérables dans les régions les plus fragiles des frontières entre le Mali, le Burkina-Faso et le Niger ». Cet objectif sera atteint avec la mise en œuvre d’actions pour :</w:t>
      </w:r>
      <w:r>
        <w:rPr>
          <w:rFonts w:ascii="Lato Medium" w:hAnsi="Lato Medium"/>
        </w:rPr>
        <w:t xml:space="preserve"> </w:t>
      </w:r>
      <w:r w:rsidRPr="00627D5E">
        <w:rPr>
          <w:rFonts w:ascii="Lato Medium" w:hAnsi="Lato Medium"/>
        </w:rPr>
        <w:t>(i) Renforcer les moyens d’existence des populations agricoles et pastorales en renforçant de manière durable et structurelle la résilience à l’insécurité alimentaire et nutritionnelle ; (ii) Appuyer les communautés et institutions locales dans la prévention des conflits et le renforcement de la cohésion sociale.</w:t>
      </w:r>
    </w:p>
    <w:p w14:paraId="08DF1EE9" w14:textId="7F26E035" w:rsidR="00325536" w:rsidRPr="00627D5E" w:rsidRDefault="00A56C8E" w:rsidP="00E23368">
      <w:pPr>
        <w:spacing w:before="240" w:after="120"/>
        <w:jc w:val="both"/>
        <w:rPr>
          <w:rFonts w:ascii="Lato Medium" w:hAnsi="Lato Medium" w:cs="Arial"/>
          <w:color w:val="000000"/>
        </w:rPr>
      </w:pPr>
      <w:r w:rsidRPr="00627D5E">
        <w:rPr>
          <w:rFonts w:ascii="Lato Medium" w:hAnsi="Lato Medium" w:cs="Arial"/>
          <w:color w:val="000000"/>
        </w:rPr>
        <w:t>La réalisation</w:t>
      </w:r>
      <w:r w:rsidR="00627D5E">
        <w:rPr>
          <w:rFonts w:ascii="Lato Medium" w:hAnsi="Lato Medium" w:cs="Arial"/>
          <w:color w:val="000000"/>
        </w:rPr>
        <w:t xml:space="preserve"> spécifique de l’</w:t>
      </w:r>
      <w:r w:rsidRPr="00627D5E">
        <w:rPr>
          <w:rFonts w:ascii="Lato Medium" w:hAnsi="Lato Medium" w:cs="Arial"/>
          <w:color w:val="000000"/>
        </w:rPr>
        <w:t>objectif</w:t>
      </w:r>
      <w:r w:rsidR="00627D5E">
        <w:rPr>
          <w:rFonts w:ascii="Lato Medium" w:hAnsi="Lato Medium" w:cs="Arial"/>
          <w:color w:val="000000"/>
        </w:rPr>
        <w:t xml:space="preserve"> 2</w:t>
      </w:r>
      <w:r w:rsidRPr="00627D5E">
        <w:rPr>
          <w:rFonts w:ascii="Lato Medium" w:hAnsi="Lato Medium" w:cs="Arial"/>
          <w:color w:val="000000"/>
        </w:rPr>
        <w:t xml:space="preserve"> viendra en réponse directe à l’escalade de violence et difficultés rencontrées par les communautés et les autorités concernant la gestion de la situation sécuritaire dans la zone des trois frontières (Mali, Burkina Faso, Niger). L’atteinte de l’objectif précédemment mentionné se fera à travers la réalisation de deux résultats suivants qui sont :</w:t>
      </w:r>
    </w:p>
    <w:p w14:paraId="72B17EA6" w14:textId="77777777" w:rsidR="00325536" w:rsidRPr="00627D5E" w:rsidRDefault="00A56C8E" w:rsidP="00E23368">
      <w:pPr>
        <w:spacing w:before="240" w:after="120"/>
        <w:jc w:val="both"/>
        <w:rPr>
          <w:rFonts w:ascii="Lato Medium" w:hAnsi="Lato Medium" w:cs="Arial"/>
          <w:color w:val="000000"/>
        </w:rPr>
      </w:pPr>
      <w:r w:rsidRPr="00627D5E">
        <w:rPr>
          <w:rFonts w:ascii="Lato Medium" w:hAnsi="Lato Medium" w:cs="Arial"/>
          <w:color w:val="000000"/>
        </w:rPr>
        <w:t>Résultat 4 : Amélioration des relations des habitants et des représentants des autorités de l'Etat dans les communes du projet.</w:t>
      </w:r>
    </w:p>
    <w:p w14:paraId="1E549460" w14:textId="66D5F023" w:rsidR="00325536" w:rsidRDefault="00A56C8E" w:rsidP="00E23368">
      <w:pPr>
        <w:spacing w:before="240" w:after="240"/>
        <w:rPr>
          <w:rFonts w:ascii="Lato Medium" w:hAnsi="Lato Medium" w:cs="Arial"/>
          <w:color w:val="000000"/>
        </w:rPr>
      </w:pPr>
      <w:r w:rsidRPr="00627D5E">
        <w:rPr>
          <w:rFonts w:ascii="Lato Medium" w:hAnsi="Lato Medium" w:cs="Arial"/>
          <w:color w:val="000000"/>
        </w:rPr>
        <w:t>Résultat 5 : Amélioration de la cohésion sociale, de la prévention et de la gestion des conflits pour les habitants des communes du projet.</w:t>
      </w:r>
    </w:p>
    <w:p w14:paraId="386A6720" w14:textId="07D62E25" w:rsidR="0073515D" w:rsidRPr="00627D5E" w:rsidRDefault="0073515D" w:rsidP="0073515D">
      <w:pPr>
        <w:pStyle w:val="Heading1"/>
      </w:pPr>
      <w:r>
        <w:t>Objectifs et résultats de l’étude</w:t>
      </w:r>
    </w:p>
    <w:p w14:paraId="2DCCFA46" w14:textId="4D3063C0" w:rsidR="00325536" w:rsidRPr="00627D5E" w:rsidRDefault="00A56C8E" w:rsidP="0073515D">
      <w:pPr>
        <w:pStyle w:val="Heading2"/>
        <w:rPr>
          <w:rFonts w:eastAsia="Domine"/>
        </w:rPr>
      </w:pPr>
      <w:bookmarkStart w:id="5" w:name="_heading=h.2et92p0" w:colFirst="0" w:colLast="0"/>
      <w:bookmarkEnd w:id="5"/>
      <w:r w:rsidRPr="00627D5E">
        <w:rPr>
          <w:rFonts w:eastAsia="Domine"/>
        </w:rPr>
        <w:t>Objectifs de l’étude</w:t>
      </w:r>
    </w:p>
    <w:p w14:paraId="2BAA0947" w14:textId="5FD85AE0" w:rsidR="00325536" w:rsidRDefault="00A56C8E" w:rsidP="00E23368">
      <w:pPr>
        <w:pBdr>
          <w:top w:val="nil"/>
          <w:left w:val="nil"/>
          <w:bottom w:val="nil"/>
          <w:right w:val="nil"/>
          <w:between w:val="nil"/>
        </w:pBdr>
        <w:jc w:val="both"/>
        <w:rPr>
          <w:rFonts w:ascii="Lato Medium" w:hAnsi="Lato Medium" w:cs="Arial"/>
          <w:bCs/>
          <w:color w:val="000000"/>
        </w:rPr>
      </w:pPr>
      <w:r w:rsidRPr="00775E2D">
        <w:rPr>
          <w:rFonts w:ascii="Lato Medium" w:hAnsi="Lato Medium" w:cs="Arial"/>
          <w:bCs/>
          <w:color w:val="000000"/>
        </w:rPr>
        <w:t xml:space="preserve">Cette étude a pour objectif général d’analyser la perception des communautés sur les problématiques de paix et sécurité, </w:t>
      </w:r>
      <w:r w:rsidR="00190705">
        <w:rPr>
          <w:rFonts w:ascii="Lato Medium" w:hAnsi="Lato Medium" w:cs="Arial"/>
          <w:bCs/>
          <w:color w:val="000000"/>
        </w:rPr>
        <w:t>et d’établir</w:t>
      </w:r>
      <w:r w:rsidRPr="00775E2D">
        <w:rPr>
          <w:rFonts w:ascii="Lato Medium" w:hAnsi="Lato Medium" w:cs="Arial"/>
          <w:bCs/>
          <w:color w:val="000000"/>
        </w:rPr>
        <w:t xml:space="preserve"> le niveau de base des indicateurs de suivi de la performance du projet.</w:t>
      </w:r>
    </w:p>
    <w:p w14:paraId="48BD00E0" w14:textId="77777777" w:rsidR="00190705" w:rsidRPr="00775E2D" w:rsidRDefault="00190705" w:rsidP="00E23368">
      <w:pPr>
        <w:pBdr>
          <w:top w:val="nil"/>
          <w:left w:val="nil"/>
          <w:bottom w:val="nil"/>
          <w:right w:val="nil"/>
          <w:between w:val="nil"/>
        </w:pBdr>
        <w:jc w:val="both"/>
        <w:rPr>
          <w:rFonts w:ascii="Lato Medium" w:hAnsi="Lato Medium" w:cs="Arial"/>
          <w:bCs/>
          <w:color w:val="000000"/>
        </w:rPr>
      </w:pPr>
    </w:p>
    <w:p w14:paraId="3532A4F6" w14:textId="77777777" w:rsidR="00325536" w:rsidRPr="003B1A46" w:rsidRDefault="00A56C8E" w:rsidP="00E23368">
      <w:pPr>
        <w:pBdr>
          <w:top w:val="nil"/>
          <w:left w:val="nil"/>
          <w:bottom w:val="nil"/>
          <w:right w:val="nil"/>
          <w:between w:val="nil"/>
        </w:pBdr>
        <w:jc w:val="both"/>
        <w:rPr>
          <w:rFonts w:ascii="Lato Medium" w:hAnsi="Lato Medium" w:cs="Arial"/>
          <w:b/>
          <w:bCs/>
        </w:rPr>
      </w:pPr>
      <w:r w:rsidRPr="003B1A46">
        <w:rPr>
          <w:rFonts w:ascii="Lato Medium" w:hAnsi="Lato Medium" w:cs="Arial"/>
          <w:b/>
          <w:bCs/>
          <w:color w:val="000000"/>
        </w:rPr>
        <w:t>Plus spécifiquement il s’agira de :</w:t>
      </w:r>
    </w:p>
    <w:p w14:paraId="72EF45BC" w14:textId="2826A0F2" w:rsidR="00325536" w:rsidRPr="003B1A46" w:rsidRDefault="00A56C8E" w:rsidP="003B1A46">
      <w:pPr>
        <w:pBdr>
          <w:top w:val="nil"/>
          <w:left w:val="nil"/>
          <w:bottom w:val="nil"/>
          <w:right w:val="nil"/>
          <w:between w:val="nil"/>
        </w:pBdr>
        <w:jc w:val="both"/>
        <w:rPr>
          <w:rFonts w:ascii="Lato Medium" w:hAnsi="Lato Medium" w:cs="Arial"/>
          <w:i/>
          <w:iCs/>
          <w:color w:val="000000"/>
        </w:rPr>
      </w:pPr>
      <w:r w:rsidRPr="003B1A46">
        <w:rPr>
          <w:rFonts w:ascii="Lato Medium" w:hAnsi="Lato Medium" w:cs="Arial"/>
          <w:i/>
          <w:iCs/>
          <w:color w:val="000000"/>
        </w:rPr>
        <w:t xml:space="preserve">Analyser la perception des principales parties prenantes (communautés et acteurs gouvernementaux) sur leurs rôles et responsabilités dans le renforcement des mécanismes locaux de gestion de conflits </w:t>
      </w:r>
      <w:r w:rsidR="00464AC9" w:rsidRPr="003B1A46">
        <w:rPr>
          <w:rFonts w:ascii="Lato Medium" w:hAnsi="Lato Medium" w:cs="Arial"/>
          <w:i/>
          <w:iCs/>
          <w:color w:val="000000"/>
        </w:rPr>
        <w:t>à travers la détermination du niveau de base des indicateurs de suivi de la performance du projet</w:t>
      </w:r>
      <w:r w:rsidR="0025031B" w:rsidRPr="003B1A46">
        <w:rPr>
          <w:rFonts w:ascii="Lato Medium" w:hAnsi="Lato Medium" w:cs="Arial"/>
          <w:i/>
          <w:iCs/>
          <w:color w:val="000000"/>
        </w:rPr>
        <w:t>.</w:t>
      </w:r>
    </w:p>
    <w:p w14:paraId="0C5FE903" w14:textId="677BB7C7" w:rsidR="00627D5E" w:rsidRDefault="00627D5E" w:rsidP="0073515D">
      <w:pPr>
        <w:pStyle w:val="Heading2"/>
      </w:pPr>
      <w:r w:rsidRPr="00627D5E">
        <w:t xml:space="preserve">Résultats Attendus </w:t>
      </w:r>
    </w:p>
    <w:p w14:paraId="5DD3C251" w14:textId="4BB1FCCF" w:rsidR="00627D5E" w:rsidRPr="003B1A46" w:rsidRDefault="00775E2D" w:rsidP="003B1A46">
      <w:pPr>
        <w:pBdr>
          <w:top w:val="nil"/>
          <w:left w:val="nil"/>
          <w:bottom w:val="nil"/>
          <w:right w:val="nil"/>
          <w:between w:val="nil"/>
        </w:pBdr>
        <w:jc w:val="both"/>
        <w:rPr>
          <w:rFonts w:ascii="Lato Medium" w:hAnsi="Lato Medium" w:cs="Arial"/>
          <w:i/>
          <w:iCs/>
          <w:color w:val="000000"/>
        </w:rPr>
      </w:pPr>
      <w:r w:rsidRPr="003B1A46">
        <w:rPr>
          <w:rFonts w:ascii="Lato Medium" w:hAnsi="Lato Medium" w:cs="Arial"/>
          <w:i/>
          <w:iCs/>
          <w:color w:val="000000"/>
        </w:rPr>
        <w:t xml:space="preserve">Les niveaux de base des indicateurs de suivi de la performance au projet ont été déterminés. </w:t>
      </w:r>
    </w:p>
    <w:p w14:paraId="0F8A1CB5" w14:textId="6ABB6396" w:rsidR="00325536" w:rsidRPr="00775E2D" w:rsidRDefault="00A56C8E" w:rsidP="0073515D">
      <w:pPr>
        <w:pStyle w:val="Heading2"/>
        <w:rPr>
          <w:rFonts w:eastAsia="Domine"/>
        </w:rPr>
      </w:pPr>
      <w:r w:rsidRPr="00775E2D">
        <w:rPr>
          <w:rFonts w:eastAsia="Domine"/>
        </w:rPr>
        <w:t>Questions clés de l’étude</w:t>
      </w:r>
    </w:p>
    <w:p w14:paraId="567A85AD" w14:textId="7354ECB7" w:rsidR="003B1A46" w:rsidRDefault="00A56C8E" w:rsidP="00E23368">
      <w:pPr>
        <w:numPr>
          <w:ilvl w:val="0"/>
          <w:numId w:val="2"/>
        </w:numPr>
        <w:pBdr>
          <w:top w:val="nil"/>
          <w:left w:val="nil"/>
          <w:bottom w:val="nil"/>
          <w:right w:val="nil"/>
          <w:between w:val="nil"/>
        </w:pBdr>
        <w:jc w:val="both"/>
        <w:rPr>
          <w:rFonts w:ascii="Lato Medium" w:hAnsi="Lato Medium" w:cs="Arial"/>
        </w:rPr>
      </w:pPr>
      <w:r w:rsidRPr="00775E2D">
        <w:rPr>
          <w:rFonts w:ascii="Lato Medium" w:hAnsi="Lato Medium" w:cs="Arial"/>
        </w:rPr>
        <w:t>Quel est le niveau initial des indicateurs du projet en lien avec la cohésion sociale</w:t>
      </w:r>
      <w:r w:rsidR="003B1A46">
        <w:rPr>
          <w:rFonts w:ascii="Lato Medium" w:hAnsi="Lato Medium" w:cs="Arial"/>
        </w:rPr>
        <w:t xml:space="preserve"> verticale et horizontale</w:t>
      </w:r>
      <w:r w:rsidRPr="00775E2D">
        <w:rPr>
          <w:rFonts w:ascii="Lato Medium" w:hAnsi="Lato Medium" w:cs="Arial"/>
        </w:rPr>
        <w:t xml:space="preserve"> ?</w:t>
      </w:r>
    </w:p>
    <w:p w14:paraId="4E6173FC" w14:textId="52C2312F" w:rsidR="00325536" w:rsidRPr="003B1A46" w:rsidRDefault="00A56C8E" w:rsidP="003B1A46">
      <w:pPr>
        <w:numPr>
          <w:ilvl w:val="0"/>
          <w:numId w:val="2"/>
        </w:numPr>
        <w:pBdr>
          <w:top w:val="nil"/>
          <w:left w:val="nil"/>
          <w:bottom w:val="nil"/>
          <w:right w:val="nil"/>
          <w:between w:val="nil"/>
        </w:pBdr>
        <w:jc w:val="both"/>
        <w:rPr>
          <w:rFonts w:ascii="Lato Medium" w:hAnsi="Lato Medium" w:cs="Arial"/>
        </w:rPr>
      </w:pPr>
      <w:r w:rsidRPr="00775E2D">
        <w:rPr>
          <w:rFonts w:ascii="Lato Medium" w:hAnsi="Lato Medium" w:cs="Arial"/>
        </w:rPr>
        <w:t>Quelles</w:t>
      </w:r>
      <w:r w:rsidRPr="00775E2D">
        <w:rPr>
          <w:rFonts w:ascii="Lato Medium" w:hAnsi="Lato Medium" w:cs="Arial"/>
          <w:color w:val="000000"/>
        </w:rPr>
        <w:t xml:space="preserve"> sont les recommandations à prendre en compte pour renforcer l’engagement et l’implication de toutes les parties prenantes dans la stabilisation des zones cibles du projet ?</w:t>
      </w:r>
    </w:p>
    <w:p w14:paraId="0BAB63CB" w14:textId="6C32522F" w:rsidR="00325536" w:rsidRDefault="00A56C8E" w:rsidP="0073515D">
      <w:pPr>
        <w:pStyle w:val="Heading2"/>
      </w:pPr>
      <w:r>
        <w:lastRenderedPageBreak/>
        <w:t>Indicateurs en lien avec les résultats 4 et 5 de la cohésion sociale</w:t>
      </w:r>
      <w:r w:rsidR="00775E2D">
        <w:t xml:space="preserve"> </w:t>
      </w:r>
      <w:r>
        <w:t>:</w:t>
      </w:r>
    </w:p>
    <w:tbl>
      <w:tblPr>
        <w:tblStyle w:val="affff5"/>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7950"/>
      </w:tblGrid>
      <w:tr w:rsidR="00325536" w:rsidRPr="00775E2D" w14:paraId="6E9F9EC6" w14:textId="77777777">
        <w:trPr>
          <w:trHeight w:val="798"/>
        </w:trPr>
        <w:tc>
          <w:tcPr>
            <w:tcW w:w="9390" w:type="dxa"/>
            <w:gridSpan w:val="2"/>
            <w:shd w:val="clear" w:color="auto" w:fill="auto"/>
            <w:tcMar>
              <w:top w:w="100" w:type="dxa"/>
              <w:left w:w="100" w:type="dxa"/>
              <w:bottom w:w="100" w:type="dxa"/>
              <w:right w:w="100" w:type="dxa"/>
            </w:tcMar>
          </w:tcPr>
          <w:p w14:paraId="492013AD" w14:textId="77777777" w:rsidR="00325536" w:rsidRPr="00775E2D" w:rsidRDefault="00A56C8E">
            <w:pPr>
              <w:widowControl w:val="0"/>
              <w:spacing w:before="240" w:line="276" w:lineRule="auto"/>
              <w:rPr>
                <w:rFonts w:ascii="Lato Medium" w:hAnsi="Lato Medium" w:cs="Arial"/>
                <w:b/>
                <w:sz w:val="22"/>
                <w:szCs w:val="22"/>
              </w:rPr>
            </w:pPr>
            <w:r w:rsidRPr="00775E2D">
              <w:rPr>
                <w:rFonts w:ascii="Lato Medium" w:hAnsi="Lato Medium" w:cs="Arial"/>
                <w:b/>
                <w:sz w:val="22"/>
                <w:szCs w:val="22"/>
              </w:rPr>
              <w:t>Objectif général : Améliorer les conditions de vie, la résilience à l’insécurité alimentaire et nutritionnelle et face aux conflits et la cohésion sociale des populations vulnérables dans les régions les plus fragiles des frontières du Mali, le Burkina Faso et le Niger.</w:t>
            </w:r>
          </w:p>
        </w:tc>
      </w:tr>
      <w:tr w:rsidR="00325536" w:rsidRPr="00775E2D" w14:paraId="16BDA7A3" w14:textId="77777777">
        <w:trPr>
          <w:trHeight w:val="414"/>
        </w:trPr>
        <w:tc>
          <w:tcPr>
            <w:tcW w:w="1440" w:type="dxa"/>
            <w:shd w:val="clear" w:color="auto" w:fill="auto"/>
            <w:tcMar>
              <w:top w:w="100" w:type="dxa"/>
              <w:left w:w="100" w:type="dxa"/>
              <w:bottom w:w="100" w:type="dxa"/>
              <w:right w:w="100" w:type="dxa"/>
            </w:tcMar>
          </w:tcPr>
          <w:p w14:paraId="7C9B0458"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IND5</w:t>
            </w:r>
          </w:p>
        </w:tc>
        <w:tc>
          <w:tcPr>
            <w:tcW w:w="7950" w:type="dxa"/>
            <w:shd w:val="clear" w:color="auto" w:fill="auto"/>
            <w:tcMar>
              <w:top w:w="100" w:type="dxa"/>
              <w:left w:w="100" w:type="dxa"/>
              <w:bottom w:w="100" w:type="dxa"/>
              <w:right w:w="100" w:type="dxa"/>
            </w:tcMar>
          </w:tcPr>
          <w:p w14:paraId="62028BE4"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Présence et fonctionnement effectif et inclusif des services de l'Etat appuyés par le projet dans les zones ciblées.</w:t>
            </w:r>
          </w:p>
        </w:tc>
      </w:tr>
      <w:tr w:rsidR="00325536" w:rsidRPr="00775E2D" w14:paraId="0FC5C745" w14:textId="77777777">
        <w:trPr>
          <w:trHeight w:val="358"/>
        </w:trPr>
        <w:tc>
          <w:tcPr>
            <w:tcW w:w="1440" w:type="dxa"/>
            <w:shd w:val="clear" w:color="auto" w:fill="auto"/>
            <w:tcMar>
              <w:top w:w="100" w:type="dxa"/>
              <w:left w:w="100" w:type="dxa"/>
              <w:bottom w:w="100" w:type="dxa"/>
              <w:right w:w="100" w:type="dxa"/>
            </w:tcMar>
          </w:tcPr>
          <w:p w14:paraId="04D4CAB8"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 xml:space="preserve">IND6 </w:t>
            </w:r>
          </w:p>
        </w:tc>
        <w:tc>
          <w:tcPr>
            <w:tcW w:w="7950" w:type="dxa"/>
            <w:shd w:val="clear" w:color="auto" w:fill="auto"/>
            <w:tcMar>
              <w:top w:w="100" w:type="dxa"/>
              <w:left w:w="100" w:type="dxa"/>
              <w:bottom w:w="100" w:type="dxa"/>
              <w:right w:w="100" w:type="dxa"/>
            </w:tcMar>
          </w:tcPr>
          <w:p w14:paraId="7271B8A7"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Diminution des conflits inter et intracommunautaires dans les zones ciblées.</w:t>
            </w:r>
          </w:p>
        </w:tc>
      </w:tr>
      <w:tr w:rsidR="00325536" w:rsidRPr="00775E2D" w14:paraId="4077E168" w14:textId="77777777">
        <w:trPr>
          <w:trHeight w:val="763"/>
        </w:trPr>
        <w:tc>
          <w:tcPr>
            <w:tcW w:w="9390" w:type="dxa"/>
            <w:gridSpan w:val="2"/>
            <w:shd w:val="clear" w:color="auto" w:fill="auto"/>
            <w:tcMar>
              <w:top w:w="100" w:type="dxa"/>
              <w:left w:w="100" w:type="dxa"/>
              <w:bottom w:w="100" w:type="dxa"/>
              <w:right w:w="100" w:type="dxa"/>
            </w:tcMar>
          </w:tcPr>
          <w:p w14:paraId="317A6B6C" w14:textId="77777777" w:rsidR="00325536" w:rsidRPr="00775E2D" w:rsidRDefault="00A56C8E">
            <w:pPr>
              <w:widowControl w:val="0"/>
              <w:spacing w:before="240" w:after="240" w:line="276" w:lineRule="auto"/>
              <w:rPr>
                <w:rFonts w:ascii="Lato Medium" w:hAnsi="Lato Medium" w:cs="Arial"/>
                <w:b/>
                <w:sz w:val="22"/>
                <w:szCs w:val="22"/>
              </w:rPr>
            </w:pPr>
            <w:r w:rsidRPr="00775E2D">
              <w:rPr>
                <w:rFonts w:ascii="Lato Medium" w:hAnsi="Lato Medium" w:cs="Arial"/>
                <w:b/>
                <w:sz w:val="22"/>
                <w:szCs w:val="22"/>
              </w:rPr>
              <w:t>Objectif spécifique 2 : Appuyer les communautés et institutions locales dans la prévention des conflits et le renforcement de la cohésion sociale.</w:t>
            </w:r>
          </w:p>
        </w:tc>
      </w:tr>
      <w:tr w:rsidR="00325536" w:rsidRPr="00775E2D" w14:paraId="2892DC5E" w14:textId="77777777">
        <w:trPr>
          <w:trHeight w:val="798"/>
        </w:trPr>
        <w:tc>
          <w:tcPr>
            <w:tcW w:w="1440" w:type="dxa"/>
            <w:shd w:val="clear" w:color="auto" w:fill="auto"/>
            <w:tcMar>
              <w:top w:w="100" w:type="dxa"/>
              <w:left w:w="100" w:type="dxa"/>
              <w:bottom w:w="100" w:type="dxa"/>
              <w:right w:w="100" w:type="dxa"/>
            </w:tcMar>
          </w:tcPr>
          <w:p w14:paraId="520F1E15" w14:textId="77777777" w:rsidR="00325536" w:rsidRPr="00775E2D" w:rsidRDefault="00A56C8E">
            <w:pPr>
              <w:widowControl w:val="0"/>
              <w:rPr>
                <w:rFonts w:ascii="Lato Medium" w:hAnsi="Lato Medium" w:cs="Arial"/>
                <w:b/>
                <w:sz w:val="20"/>
                <w:szCs w:val="20"/>
              </w:rPr>
            </w:pPr>
            <w:r w:rsidRPr="00775E2D">
              <w:rPr>
                <w:rFonts w:ascii="Lato Medium" w:hAnsi="Lato Medium" w:cs="Arial"/>
                <w:b/>
                <w:sz w:val="20"/>
                <w:szCs w:val="20"/>
              </w:rPr>
              <w:t>IND1</w:t>
            </w:r>
          </w:p>
        </w:tc>
        <w:tc>
          <w:tcPr>
            <w:tcW w:w="7950" w:type="dxa"/>
            <w:shd w:val="clear" w:color="auto" w:fill="auto"/>
            <w:tcMar>
              <w:top w:w="100" w:type="dxa"/>
              <w:left w:w="100" w:type="dxa"/>
              <w:bottom w:w="100" w:type="dxa"/>
              <w:right w:w="100" w:type="dxa"/>
            </w:tcMar>
          </w:tcPr>
          <w:p w14:paraId="2901FA86" w14:textId="77777777" w:rsidR="00325536" w:rsidRPr="00775E2D" w:rsidRDefault="00A56C8E">
            <w:pPr>
              <w:widowControl w:val="0"/>
              <w:rPr>
                <w:rFonts w:ascii="Lato Medium" w:hAnsi="Lato Medium" w:cs="Arial"/>
                <w:sz w:val="20"/>
                <w:szCs w:val="20"/>
              </w:rPr>
            </w:pPr>
            <w:r w:rsidRPr="00775E2D">
              <w:rPr>
                <w:rFonts w:ascii="Lato Medium" w:hAnsi="Lato Medium" w:cs="Arial"/>
                <w:sz w:val="20"/>
                <w:szCs w:val="20"/>
              </w:rPr>
              <w:t>% des bénéficiaires qui considèrent que leurs préoccupations (relatives à la gestion inclusive et équitable des conflits communautaires, l’accès aux ressources naturelles et à la fourniture des services de base) ont été prises en compte par les institutions locales (formelles et informelles).</w:t>
            </w:r>
          </w:p>
          <w:p w14:paraId="4BF4B9ED" w14:textId="77777777" w:rsidR="00325536" w:rsidRPr="00775E2D" w:rsidRDefault="00A56C8E">
            <w:pPr>
              <w:widowControl w:val="0"/>
              <w:numPr>
                <w:ilvl w:val="0"/>
                <w:numId w:val="3"/>
              </w:numPr>
              <w:pBdr>
                <w:top w:val="nil"/>
                <w:left w:val="nil"/>
                <w:bottom w:val="nil"/>
                <w:right w:val="nil"/>
                <w:between w:val="nil"/>
              </w:pBdr>
              <w:jc w:val="both"/>
              <w:rPr>
                <w:rFonts w:ascii="Lato Medium" w:hAnsi="Lato Medium" w:cs="Arial"/>
                <w:color w:val="000000"/>
              </w:rPr>
            </w:pPr>
            <w:r w:rsidRPr="00775E2D">
              <w:rPr>
                <w:rFonts w:ascii="Lato Medium" w:hAnsi="Lato Medium" w:cs="Arial"/>
                <w:color w:val="000000"/>
                <w:sz w:val="20"/>
                <w:szCs w:val="20"/>
              </w:rPr>
              <w:t>IND1.1 :</w:t>
            </w:r>
            <w:r w:rsidRPr="00775E2D">
              <w:rPr>
                <w:rFonts w:ascii="Lato Medium" w:hAnsi="Lato Medium" w:cs="Arial"/>
                <w:color w:val="000000"/>
              </w:rPr>
              <w:t xml:space="preserve"> </w:t>
            </w:r>
            <w:r w:rsidRPr="00775E2D">
              <w:rPr>
                <w:rFonts w:ascii="Lato Medium" w:hAnsi="Lato Medium" w:cs="Arial"/>
                <w:color w:val="000000"/>
                <w:sz w:val="20"/>
                <w:szCs w:val="20"/>
              </w:rPr>
              <w:t xml:space="preserve">% des bénéficiaires qui estiment que la gestion inclusive et équitable des conflits communautaires </w:t>
            </w:r>
            <w:proofErr w:type="gramStart"/>
            <w:r w:rsidRPr="00775E2D">
              <w:rPr>
                <w:rFonts w:ascii="Lato Medium" w:hAnsi="Lato Medium" w:cs="Arial"/>
                <w:color w:val="000000"/>
                <w:sz w:val="20"/>
                <w:szCs w:val="20"/>
              </w:rPr>
              <w:t>ont</w:t>
            </w:r>
            <w:proofErr w:type="gramEnd"/>
            <w:r w:rsidRPr="00775E2D">
              <w:rPr>
                <w:rFonts w:ascii="Lato Medium" w:hAnsi="Lato Medium" w:cs="Arial"/>
                <w:color w:val="000000"/>
                <w:sz w:val="20"/>
                <w:szCs w:val="20"/>
              </w:rPr>
              <w:t xml:space="preserve"> été considérées par les institutions locales (formelles et informelles).</w:t>
            </w:r>
          </w:p>
          <w:p w14:paraId="068D8B5F" w14:textId="77777777" w:rsidR="00325536" w:rsidRPr="00775E2D" w:rsidRDefault="00A56C8E">
            <w:pPr>
              <w:widowControl w:val="0"/>
              <w:numPr>
                <w:ilvl w:val="0"/>
                <w:numId w:val="3"/>
              </w:numPr>
              <w:pBdr>
                <w:top w:val="nil"/>
                <w:left w:val="nil"/>
                <w:bottom w:val="nil"/>
                <w:right w:val="nil"/>
                <w:between w:val="nil"/>
              </w:pBdr>
              <w:jc w:val="both"/>
              <w:rPr>
                <w:rFonts w:ascii="Lato Medium" w:hAnsi="Lato Medium" w:cs="Arial"/>
                <w:color w:val="000000"/>
              </w:rPr>
            </w:pPr>
            <w:r w:rsidRPr="00775E2D">
              <w:rPr>
                <w:rFonts w:ascii="Lato Medium" w:hAnsi="Lato Medium" w:cs="Arial"/>
                <w:color w:val="000000"/>
                <w:sz w:val="20"/>
                <w:szCs w:val="20"/>
              </w:rPr>
              <w:t>IND1.2 : % des bénéficiaires qui estiment que l’accès aux ressources naturelles ont été considérées par les institutions locales (formelles et informelles).</w:t>
            </w:r>
          </w:p>
          <w:p w14:paraId="7F287FEB" w14:textId="77777777" w:rsidR="00325536" w:rsidRPr="00775E2D" w:rsidRDefault="00A56C8E">
            <w:pPr>
              <w:widowControl w:val="0"/>
              <w:numPr>
                <w:ilvl w:val="0"/>
                <w:numId w:val="3"/>
              </w:numPr>
              <w:pBdr>
                <w:top w:val="nil"/>
                <w:left w:val="nil"/>
                <w:bottom w:val="nil"/>
                <w:right w:val="nil"/>
                <w:between w:val="nil"/>
              </w:pBdr>
              <w:jc w:val="both"/>
              <w:rPr>
                <w:rFonts w:ascii="Lato Medium" w:hAnsi="Lato Medium" w:cs="Arial"/>
                <w:color w:val="000000"/>
              </w:rPr>
            </w:pPr>
            <w:r w:rsidRPr="00775E2D">
              <w:rPr>
                <w:rFonts w:ascii="Lato Medium" w:hAnsi="Lato Medium" w:cs="Arial"/>
                <w:color w:val="000000"/>
                <w:sz w:val="20"/>
                <w:szCs w:val="20"/>
              </w:rPr>
              <w:t xml:space="preserve">IND1.3 : % des bénéficiaires qui estiment que la fourniture des services de base </w:t>
            </w:r>
            <w:proofErr w:type="gramStart"/>
            <w:r w:rsidRPr="00775E2D">
              <w:rPr>
                <w:rFonts w:ascii="Lato Medium" w:hAnsi="Lato Medium" w:cs="Arial"/>
                <w:color w:val="000000"/>
                <w:sz w:val="20"/>
                <w:szCs w:val="20"/>
              </w:rPr>
              <w:t>ont</w:t>
            </w:r>
            <w:proofErr w:type="gramEnd"/>
            <w:r w:rsidRPr="00775E2D">
              <w:rPr>
                <w:rFonts w:ascii="Lato Medium" w:hAnsi="Lato Medium" w:cs="Arial"/>
                <w:color w:val="000000"/>
                <w:sz w:val="20"/>
                <w:szCs w:val="20"/>
              </w:rPr>
              <w:t xml:space="preserve"> été considérées par les institutions locales (formelles et informelles).</w:t>
            </w:r>
          </w:p>
          <w:p w14:paraId="4FC0545B" w14:textId="77777777" w:rsidR="00325536" w:rsidRPr="00775E2D" w:rsidRDefault="00A56C8E">
            <w:pPr>
              <w:widowControl w:val="0"/>
              <w:numPr>
                <w:ilvl w:val="0"/>
                <w:numId w:val="3"/>
              </w:numPr>
              <w:pBdr>
                <w:top w:val="nil"/>
                <w:left w:val="nil"/>
                <w:bottom w:val="nil"/>
                <w:right w:val="nil"/>
                <w:between w:val="nil"/>
              </w:pBdr>
              <w:jc w:val="both"/>
              <w:rPr>
                <w:rFonts w:ascii="Lato Medium" w:hAnsi="Lato Medium" w:cs="Arial"/>
                <w:color w:val="000000"/>
              </w:rPr>
            </w:pPr>
            <w:r w:rsidRPr="00775E2D">
              <w:rPr>
                <w:rFonts w:ascii="Lato Medium" w:hAnsi="Lato Medium" w:cs="Arial"/>
                <w:color w:val="000000"/>
                <w:sz w:val="20"/>
                <w:szCs w:val="20"/>
              </w:rPr>
              <w:t>IG</w:t>
            </w:r>
            <w:proofErr w:type="gramStart"/>
            <w:r w:rsidRPr="00775E2D">
              <w:rPr>
                <w:rFonts w:ascii="Lato Medium" w:hAnsi="Lato Medium" w:cs="Arial"/>
                <w:color w:val="000000"/>
                <w:sz w:val="20"/>
                <w:szCs w:val="20"/>
              </w:rPr>
              <w:t>1:</w:t>
            </w:r>
            <w:proofErr w:type="gramEnd"/>
            <w:r w:rsidRPr="00775E2D">
              <w:rPr>
                <w:rFonts w:ascii="Lato Medium" w:hAnsi="Lato Medium" w:cs="Arial"/>
                <w:color w:val="000000"/>
                <w:sz w:val="20"/>
                <w:szCs w:val="20"/>
              </w:rPr>
              <w:t xml:space="preserve"> % des bénéficiaires qui estiment qu'au moins 2 des 3 composantes ont été considérées par les institutions locales (formelles et informelles).</w:t>
            </w:r>
          </w:p>
          <w:p w14:paraId="2070F5CF" w14:textId="77777777" w:rsidR="00325536" w:rsidRPr="00775E2D" w:rsidRDefault="00A56C8E">
            <w:pPr>
              <w:widowControl w:val="0"/>
              <w:numPr>
                <w:ilvl w:val="0"/>
                <w:numId w:val="3"/>
              </w:numPr>
              <w:jc w:val="both"/>
              <w:rPr>
                <w:rFonts w:ascii="Lato Medium" w:hAnsi="Lato Medium" w:cs="Arial"/>
                <w:color w:val="000000"/>
                <w:sz w:val="20"/>
                <w:szCs w:val="20"/>
              </w:rPr>
            </w:pPr>
            <w:r w:rsidRPr="00775E2D">
              <w:rPr>
                <w:rFonts w:ascii="Lato Medium" w:hAnsi="Lato Medium" w:cs="Arial"/>
                <w:sz w:val="20"/>
                <w:szCs w:val="20"/>
              </w:rPr>
              <w:t>IG</w:t>
            </w:r>
            <w:proofErr w:type="gramStart"/>
            <w:r w:rsidRPr="00775E2D">
              <w:rPr>
                <w:rFonts w:ascii="Lato Medium" w:hAnsi="Lato Medium" w:cs="Arial"/>
                <w:sz w:val="20"/>
                <w:szCs w:val="20"/>
              </w:rPr>
              <w:t>2:</w:t>
            </w:r>
            <w:proofErr w:type="gramEnd"/>
            <w:r w:rsidRPr="00775E2D">
              <w:rPr>
                <w:rFonts w:ascii="Lato Medium" w:hAnsi="Lato Medium" w:cs="Arial"/>
                <w:sz w:val="20"/>
                <w:szCs w:val="20"/>
              </w:rPr>
              <w:t xml:space="preserve"> % des bénéficiaires qui estiment que les 3 composantes ont été considérées par les institutions locales (formelles et informelles).</w:t>
            </w:r>
          </w:p>
        </w:tc>
      </w:tr>
      <w:tr w:rsidR="00325536" w:rsidRPr="00775E2D" w14:paraId="421F8AFF" w14:textId="77777777">
        <w:trPr>
          <w:trHeight w:val="584"/>
        </w:trPr>
        <w:tc>
          <w:tcPr>
            <w:tcW w:w="1440" w:type="dxa"/>
            <w:shd w:val="clear" w:color="auto" w:fill="auto"/>
            <w:tcMar>
              <w:top w:w="100" w:type="dxa"/>
              <w:left w:w="100" w:type="dxa"/>
              <w:bottom w:w="100" w:type="dxa"/>
              <w:right w:w="100" w:type="dxa"/>
            </w:tcMar>
          </w:tcPr>
          <w:p w14:paraId="251CD7A5" w14:textId="77777777" w:rsidR="00325536" w:rsidRPr="00775E2D" w:rsidRDefault="00A56C8E">
            <w:pPr>
              <w:widowControl w:val="0"/>
              <w:rPr>
                <w:rFonts w:ascii="Lato Medium" w:hAnsi="Lato Medium" w:cs="Arial"/>
                <w:b/>
                <w:sz w:val="20"/>
                <w:szCs w:val="20"/>
              </w:rPr>
            </w:pPr>
            <w:r w:rsidRPr="00775E2D">
              <w:rPr>
                <w:rFonts w:ascii="Lato Medium" w:hAnsi="Lato Medium" w:cs="Arial"/>
                <w:b/>
                <w:sz w:val="20"/>
                <w:szCs w:val="20"/>
              </w:rPr>
              <w:t>IND2</w:t>
            </w:r>
          </w:p>
        </w:tc>
        <w:tc>
          <w:tcPr>
            <w:tcW w:w="7950" w:type="dxa"/>
            <w:shd w:val="clear" w:color="auto" w:fill="auto"/>
            <w:tcMar>
              <w:top w:w="100" w:type="dxa"/>
              <w:left w:w="100" w:type="dxa"/>
              <w:bottom w:w="100" w:type="dxa"/>
              <w:right w:w="100" w:type="dxa"/>
            </w:tcMar>
          </w:tcPr>
          <w:p w14:paraId="5E899215" w14:textId="77777777" w:rsidR="00325536" w:rsidRPr="00775E2D" w:rsidRDefault="00A56C8E">
            <w:pPr>
              <w:widowControl w:val="0"/>
              <w:rPr>
                <w:rFonts w:ascii="Lato Medium" w:hAnsi="Lato Medium" w:cs="Arial"/>
                <w:sz w:val="20"/>
                <w:szCs w:val="20"/>
              </w:rPr>
            </w:pPr>
            <w:r w:rsidRPr="00775E2D">
              <w:rPr>
                <w:rFonts w:ascii="Lato Medium" w:hAnsi="Lato Medium" w:cs="Arial"/>
                <w:sz w:val="20"/>
                <w:szCs w:val="20"/>
              </w:rPr>
              <w:t>% des bénéficiaires qui perçoivent une amélioration des relations inter/intra-communautaires, inter/intra religieuses, intergénérationnelles, et/ou avec les institutions locales</w:t>
            </w:r>
            <w:r w:rsidRPr="00775E2D">
              <w:rPr>
                <w:rFonts w:ascii="Lato Medium" w:hAnsi="Lato Medium" w:cs="Arial"/>
              </w:rPr>
              <w:t>.</w:t>
            </w:r>
          </w:p>
          <w:p w14:paraId="5EB611DC"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w:t>
            </w:r>
            <w:proofErr w:type="gramStart"/>
            <w:r w:rsidRPr="00775E2D">
              <w:rPr>
                <w:rFonts w:ascii="Lato Medium" w:hAnsi="Lato Medium" w:cs="Arial"/>
                <w:color w:val="000000"/>
                <w:sz w:val="20"/>
                <w:szCs w:val="20"/>
              </w:rPr>
              <w:t>1:</w:t>
            </w:r>
            <w:proofErr w:type="gramEnd"/>
            <w:r w:rsidRPr="00775E2D">
              <w:rPr>
                <w:rFonts w:ascii="Lato Medium" w:hAnsi="Lato Medium" w:cs="Arial"/>
                <w:color w:val="000000"/>
                <w:sz w:val="20"/>
                <w:szCs w:val="20"/>
              </w:rPr>
              <w:t xml:space="preserve"> % de bénéficiaire qui reportent que les relations (inter/intra-communautaire avec les institutions locales) se sont améliorées ;</w:t>
            </w:r>
          </w:p>
          <w:p w14:paraId="09D803C9"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w:t>
            </w:r>
            <w:proofErr w:type="gramStart"/>
            <w:r w:rsidRPr="00775E2D">
              <w:rPr>
                <w:rFonts w:ascii="Lato Medium" w:hAnsi="Lato Medium" w:cs="Arial"/>
                <w:color w:val="000000"/>
                <w:sz w:val="20"/>
                <w:szCs w:val="20"/>
              </w:rPr>
              <w:t>2:</w:t>
            </w:r>
            <w:proofErr w:type="gramEnd"/>
            <w:r w:rsidRPr="00775E2D">
              <w:rPr>
                <w:rFonts w:ascii="Lato Medium" w:hAnsi="Lato Medium" w:cs="Arial"/>
                <w:color w:val="000000"/>
                <w:sz w:val="20"/>
                <w:szCs w:val="20"/>
              </w:rPr>
              <w:t xml:space="preserve"> % de bénéficiaire qui reportent que les relations (inter/intra religieuse avec les institutions locales) se sont améliorées ; </w:t>
            </w:r>
          </w:p>
          <w:p w14:paraId="3F15E7D9"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w:t>
            </w:r>
            <w:proofErr w:type="gramStart"/>
            <w:r w:rsidRPr="00775E2D">
              <w:rPr>
                <w:rFonts w:ascii="Lato Medium" w:hAnsi="Lato Medium" w:cs="Arial"/>
                <w:color w:val="000000"/>
                <w:sz w:val="20"/>
                <w:szCs w:val="20"/>
              </w:rPr>
              <w:t>3:</w:t>
            </w:r>
            <w:proofErr w:type="gramEnd"/>
            <w:r w:rsidRPr="00775E2D">
              <w:rPr>
                <w:rFonts w:ascii="Lato Medium" w:hAnsi="Lato Medium" w:cs="Arial"/>
                <w:color w:val="000000"/>
                <w:sz w:val="20"/>
                <w:szCs w:val="20"/>
              </w:rPr>
              <w:t xml:space="preserve"> % de bénéficiaire qui reportent que les relations (inter/générationnelles avec les institutions locales) se sont améliorées ; </w:t>
            </w:r>
          </w:p>
          <w:p w14:paraId="466C41A7" w14:textId="77777777" w:rsidR="00325536" w:rsidRPr="00775E2D" w:rsidRDefault="00A56C8E">
            <w:pPr>
              <w:widowControl w:val="0"/>
              <w:numPr>
                <w:ilvl w:val="0"/>
                <w:numId w:val="3"/>
              </w:numPr>
              <w:rPr>
                <w:rFonts w:ascii="Lato Medium" w:hAnsi="Lato Medium" w:cs="Arial"/>
                <w:color w:val="000000"/>
                <w:sz w:val="20"/>
                <w:szCs w:val="20"/>
              </w:rPr>
            </w:pPr>
            <w:proofErr w:type="gramStart"/>
            <w:r w:rsidRPr="00775E2D">
              <w:rPr>
                <w:rFonts w:ascii="Lato Medium" w:hAnsi="Lato Medium" w:cs="Arial"/>
                <w:sz w:val="20"/>
                <w:szCs w:val="20"/>
              </w:rPr>
              <w:t>IG:</w:t>
            </w:r>
            <w:proofErr w:type="gramEnd"/>
            <w:r w:rsidRPr="00775E2D">
              <w:rPr>
                <w:rFonts w:ascii="Lato Medium" w:hAnsi="Lato Medium" w:cs="Arial"/>
                <w:sz w:val="20"/>
                <w:szCs w:val="20"/>
              </w:rPr>
              <w:t xml:space="preserve"> % de bénéficiaire qui reportent que les relations des trois composantes avec les institutions locales se sont améliorées</w:t>
            </w:r>
          </w:p>
        </w:tc>
      </w:tr>
      <w:tr w:rsidR="00325536" w:rsidRPr="00775E2D" w14:paraId="6CF1A983" w14:textId="77777777">
        <w:trPr>
          <w:trHeight w:val="556"/>
        </w:trPr>
        <w:tc>
          <w:tcPr>
            <w:tcW w:w="1440" w:type="dxa"/>
            <w:shd w:val="clear" w:color="auto" w:fill="auto"/>
            <w:tcMar>
              <w:top w:w="100" w:type="dxa"/>
              <w:left w:w="100" w:type="dxa"/>
              <w:bottom w:w="100" w:type="dxa"/>
              <w:right w:w="100" w:type="dxa"/>
            </w:tcMar>
          </w:tcPr>
          <w:p w14:paraId="4F241E9F" w14:textId="77777777" w:rsidR="00325536" w:rsidRPr="00775E2D" w:rsidRDefault="00A56C8E">
            <w:pPr>
              <w:widowControl w:val="0"/>
              <w:rPr>
                <w:rFonts w:ascii="Lato Medium" w:hAnsi="Lato Medium" w:cs="Arial"/>
                <w:b/>
                <w:sz w:val="20"/>
                <w:szCs w:val="20"/>
              </w:rPr>
            </w:pPr>
            <w:r w:rsidRPr="00775E2D">
              <w:rPr>
                <w:rFonts w:ascii="Lato Medium" w:hAnsi="Lato Medium" w:cs="Arial"/>
                <w:b/>
                <w:sz w:val="20"/>
                <w:szCs w:val="20"/>
              </w:rPr>
              <w:t>IND3</w:t>
            </w:r>
          </w:p>
        </w:tc>
        <w:tc>
          <w:tcPr>
            <w:tcW w:w="7950" w:type="dxa"/>
            <w:shd w:val="clear" w:color="auto" w:fill="auto"/>
            <w:tcMar>
              <w:top w:w="100" w:type="dxa"/>
              <w:left w:w="100" w:type="dxa"/>
              <w:bottom w:w="100" w:type="dxa"/>
              <w:right w:w="100" w:type="dxa"/>
            </w:tcMar>
          </w:tcPr>
          <w:p w14:paraId="37B78644" w14:textId="77777777" w:rsidR="00325536" w:rsidRPr="00775E2D" w:rsidRDefault="00A56C8E">
            <w:pPr>
              <w:widowControl w:val="0"/>
              <w:rPr>
                <w:rFonts w:ascii="Lato Medium" w:hAnsi="Lato Medium" w:cs="Arial"/>
                <w:sz w:val="20"/>
                <w:szCs w:val="20"/>
              </w:rPr>
            </w:pPr>
            <w:r w:rsidRPr="00775E2D">
              <w:rPr>
                <w:rFonts w:ascii="Lato Medium" w:hAnsi="Lato Medium" w:cs="Arial"/>
                <w:sz w:val="20"/>
                <w:szCs w:val="20"/>
              </w:rPr>
              <w:t>% de bénéficiaires qui estiment que les conflits communautaires ont diminué - % qui attribuent cette diminution aux individus et aux institutions formelles et informelles appuyées par le projet</w:t>
            </w:r>
          </w:p>
          <w:p w14:paraId="16A6A3A4"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I1 : % de bénéficiaires qui estiment que les conflits communautaires ont diminué.</w:t>
            </w:r>
          </w:p>
          <w:p w14:paraId="11E08241" w14:textId="77777777" w:rsidR="00325536" w:rsidRPr="00775E2D" w:rsidRDefault="00A56C8E">
            <w:pPr>
              <w:widowControl w:val="0"/>
              <w:numPr>
                <w:ilvl w:val="0"/>
                <w:numId w:val="3"/>
              </w:numPr>
              <w:rPr>
                <w:rFonts w:ascii="Lato Medium" w:hAnsi="Lato Medium" w:cs="Arial"/>
                <w:color w:val="000000"/>
                <w:sz w:val="20"/>
                <w:szCs w:val="20"/>
              </w:rPr>
            </w:pPr>
            <w:r w:rsidRPr="00775E2D">
              <w:rPr>
                <w:rFonts w:ascii="Lato Medium" w:hAnsi="Lato Medium" w:cs="Arial"/>
                <w:sz w:val="20"/>
                <w:szCs w:val="20"/>
              </w:rPr>
              <w:t>I2 : % qui attribuent cette diminution aux individus et aux institutions formelles et informelles appuyées par le projet.</w:t>
            </w:r>
          </w:p>
        </w:tc>
      </w:tr>
      <w:tr w:rsidR="00325536" w:rsidRPr="00775E2D" w14:paraId="58462D4D" w14:textId="77777777">
        <w:trPr>
          <w:trHeight w:val="798"/>
        </w:trPr>
        <w:tc>
          <w:tcPr>
            <w:tcW w:w="9390" w:type="dxa"/>
            <w:gridSpan w:val="2"/>
            <w:shd w:val="clear" w:color="auto" w:fill="auto"/>
            <w:tcMar>
              <w:top w:w="100" w:type="dxa"/>
              <w:left w:w="100" w:type="dxa"/>
              <w:bottom w:w="100" w:type="dxa"/>
              <w:right w:w="100" w:type="dxa"/>
            </w:tcMar>
          </w:tcPr>
          <w:p w14:paraId="0E0105BF" w14:textId="77777777" w:rsidR="00325536" w:rsidRPr="00775E2D" w:rsidRDefault="00A56C8E">
            <w:pPr>
              <w:widowControl w:val="0"/>
              <w:spacing w:before="240" w:line="276" w:lineRule="auto"/>
              <w:rPr>
                <w:rFonts w:ascii="Lato Medium" w:hAnsi="Lato Medium" w:cs="Arial"/>
                <w:sz w:val="22"/>
                <w:szCs w:val="22"/>
              </w:rPr>
            </w:pPr>
            <w:r w:rsidRPr="00775E2D">
              <w:rPr>
                <w:rFonts w:ascii="Lato Medium" w:hAnsi="Lato Medium" w:cs="Arial"/>
                <w:b/>
                <w:sz w:val="22"/>
                <w:szCs w:val="22"/>
              </w:rPr>
              <w:lastRenderedPageBreak/>
              <w:t xml:space="preserve">Résultat 4 : Amélioration des relations des habitants et des représentants des autorités de l'Etat dans les communes du projet. </w:t>
            </w:r>
          </w:p>
        </w:tc>
      </w:tr>
      <w:tr w:rsidR="00325536" w:rsidRPr="00775E2D" w14:paraId="66471077" w14:textId="77777777">
        <w:trPr>
          <w:trHeight w:val="664"/>
        </w:trPr>
        <w:tc>
          <w:tcPr>
            <w:tcW w:w="1440" w:type="dxa"/>
            <w:shd w:val="clear" w:color="auto" w:fill="auto"/>
            <w:tcMar>
              <w:top w:w="100" w:type="dxa"/>
              <w:left w:w="100" w:type="dxa"/>
              <w:bottom w:w="100" w:type="dxa"/>
              <w:right w:w="100" w:type="dxa"/>
            </w:tcMar>
          </w:tcPr>
          <w:p w14:paraId="1744D6AA"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R4IND1</w:t>
            </w:r>
          </w:p>
        </w:tc>
        <w:tc>
          <w:tcPr>
            <w:tcW w:w="7950" w:type="dxa"/>
            <w:shd w:val="clear" w:color="auto" w:fill="auto"/>
            <w:tcMar>
              <w:top w:w="100" w:type="dxa"/>
              <w:left w:w="100" w:type="dxa"/>
              <w:bottom w:w="100" w:type="dxa"/>
              <w:right w:w="100" w:type="dxa"/>
            </w:tcMar>
          </w:tcPr>
          <w:p w14:paraId="46EBFC9E"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xml:space="preserve">% de personnes indiquant que la communication et la collaboration entre les communautés et les autorités locales (formelles) se sont améliorées. </w:t>
            </w:r>
          </w:p>
        </w:tc>
      </w:tr>
      <w:tr w:rsidR="00325536" w:rsidRPr="00775E2D" w14:paraId="19D7AC4B" w14:textId="77777777">
        <w:trPr>
          <w:trHeight w:val="474"/>
        </w:trPr>
        <w:tc>
          <w:tcPr>
            <w:tcW w:w="1440" w:type="dxa"/>
            <w:shd w:val="clear" w:color="auto" w:fill="auto"/>
            <w:tcMar>
              <w:top w:w="100" w:type="dxa"/>
              <w:left w:w="100" w:type="dxa"/>
              <w:bottom w:w="100" w:type="dxa"/>
              <w:right w:w="100" w:type="dxa"/>
            </w:tcMar>
          </w:tcPr>
          <w:p w14:paraId="4F4F819E"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R4IND2</w:t>
            </w:r>
          </w:p>
        </w:tc>
        <w:tc>
          <w:tcPr>
            <w:tcW w:w="7950" w:type="dxa"/>
            <w:shd w:val="clear" w:color="auto" w:fill="auto"/>
            <w:tcMar>
              <w:top w:w="100" w:type="dxa"/>
              <w:left w:w="100" w:type="dxa"/>
              <w:bottom w:w="100" w:type="dxa"/>
              <w:right w:w="100" w:type="dxa"/>
            </w:tcMar>
          </w:tcPr>
          <w:p w14:paraId="382C62D1"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des autorités qui reconnaissent l'importance de la participation des citoyens dans la gouvernance locale ou dans la gestion des services.</w:t>
            </w:r>
          </w:p>
        </w:tc>
      </w:tr>
      <w:tr w:rsidR="00325536" w:rsidRPr="00775E2D" w14:paraId="36F0AD42" w14:textId="77777777">
        <w:trPr>
          <w:trHeight w:val="474"/>
        </w:trPr>
        <w:tc>
          <w:tcPr>
            <w:tcW w:w="1440" w:type="dxa"/>
            <w:shd w:val="clear" w:color="auto" w:fill="auto"/>
            <w:tcMar>
              <w:top w:w="100" w:type="dxa"/>
              <w:left w:w="100" w:type="dxa"/>
              <w:bottom w:w="100" w:type="dxa"/>
              <w:right w:w="100" w:type="dxa"/>
            </w:tcMar>
          </w:tcPr>
          <w:p w14:paraId="01F96DDA" w14:textId="77777777" w:rsidR="00325536" w:rsidRPr="00775E2D" w:rsidRDefault="00A56C8E">
            <w:pPr>
              <w:widowControl w:val="0"/>
              <w:rPr>
                <w:rFonts w:ascii="Lato Medium" w:hAnsi="Lato Medium" w:cs="Arial"/>
                <w:b/>
                <w:sz w:val="20"/>
                <w:szCs w:val="20"/>
              </w:rPr>
            </w:pPr>
            <w:r w:rsidRPr="00775E2D">
              <w:rPr>
                <w:rFonts w:ascii="Lato Medium" w:hAnsi="Lato Medium" w:cs="Arial"/>
                <w:b/>
                <w:sz w:val="20"/>
                <w:szCs w:val="20"/>
              </w:rPr>
              <w:t>R4IND3</w:t>
            </w:r>
          </w:p>
        </w:tc>
        <w:tc>
          <w:tcPr>
            <w:tcW w:w="7950" w:type="dxa"/>
            <w:shd w:val="clear" w:color="auto" w:fill="auto"/>
            <w:tcMar>
              <w:top w:w="100" w:type="dxa"/>
              <w:left w:w="100" w:type="dxa"/>
              <w:bottom w:w="100" w:type="dxa"/>
              <w:right w:w="100" w:type="dxa"/>
            </w:tcMar>
          </w:tcPr>
          <w:p w14:paraId="58F7E4F0"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xml:space="preserve"> % des répondants qui disent être impliqués avec les autorités locales de leurs communautés dans la prise de décision.</w:t>
            </w:r>
          </w:p>
          <w:p w14:paraId="3916B37E"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des répondants jeunes (15-35 ans) qui disent être impliqués avec les autorités locales de leurs communautés dans la prise de décisions</w:t>
            </w:r>
          </w:p>
        </w:tc>
      </w:tr>
      <w:tr w:rsidR="00325536" w:rsidRPr="00775E2D" w14:paraId="384A604E" w14:textId="77777777">
        <w:trPr>
          <w:trHeight w:val="440"/>
        </w:trPr>
        <w:tc>
          <w:tcPr>
            <w:tcW w:w="9390" w:type="dxa"/>
            <w:gridSpan w:val="2"/>
            <w:shd w:val="clear" w:color="auto" w:fill="auto"/>
            <w:tcMar>
              <w:top w:w="100" w:type="dxa"/>
              <w:left w:w="100" w:type="dxa"/>
              <w:bottom w:w="100" w:type="dxa"/>
              <w:right w:w="100" w:type="dxa"/>
            </w:tcMar>
          </w:tcPr>
          <w:p w14:paraId="4A339791" w14:textId="77777777" w:rsidR="00325536" w:rsidRPr="00775E2D" w:rsidRDefault="00A56C8E">
            <w:pPr>
              <w:widowControl w:val="0"/>
              <w:pBdr>
                <w:top w:val="nil"/>
                <w:left w:val="nil"/>
                <w:bottom w:val="nil"/>
                <w:right w:val="nil"/>
                <w:between w:val="nil"/>
              </w:pBdr>
              <w:rPr>
                <w:rFonts w:ascii="Lato Medium" w:hAnsi="Lato Medium" w:cs="Arial"/>
              </w:rPr>
            </w:pPr>
            <w:r w:rsidRPr="00775E2D">
              <w:rPr>
                <w:rFonts w:ascii="Lato Medium" w:hAnsi="Lato Medium" w:cs="Arial"/>
                <w:b/>
                <w:sz w:val="22"/>
                <w:szCs w:val="22"/>
              </w:rPr>
              <w:t>Résultat 5 : Amélioration de la cohésion sociale, de la prévention et de la gestion des conflits pour les habitants des communes du projet.</w:t>
            </w:r>
          </w:p>
        </w:tc>
      </w:tr>
      <w:tr w:rsidR="00325536" w:rsidRPr="00775E2D" w14:paraId="1308F005" w14:textId="77777777">
        <w:tc>
          <w:tcPr>
            <w:tcW w:w="1440" w:type="dxa"/>
            <w:shd w:val="clear" w:color="auto" w:fill="auto"/>
            <w:tcMar>
              <w:top w:w="100" w:type="dxa"/>
              <w:left w:w="100" w:type="dxa"/>
              <w:bottom w:w="100" w:type="dxa"/>
              <w:right w:w="100" w:type="dxa"/>
            </w:tcMar>
          </w:tcPr>
          <w:p w14:paraId="185D66E2"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R5IND1</w:t>
            </w:r>
          </w:p>
        </w:tc>
        <w:tc>
          <w:tcPr>
            <w:tcW w:w="79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524097B6"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d'acteurs locaux et membres des instances locales de prévention et gestion des conflits dont les connaissances et capacités en transformation de conflits se sont améliorées.</w:t>
            </w:r>
          </w:p>
        </w:tc>
      </w:tr>
      <w:tr w:rsidR="00325536" w:rsidRPr="00775E2D" w14:paraId="7AB8056D" w14:textId="77777777">
        <w:tc>
          <w:tcPr>
            <w:tcW w:w="1440" w:type="dxa"/>
            <w:shd w:val="clear" w:color="auto" w:fill="auto"/>
            <w:tcMar>
              <w:top w:w="100" w:type="dxa"/>
              <w:left w:w="100" w:type="dxa"/>
              <w:bottom w:w="100" w:type="dxa"/>
              <w:right w:w="100" w:type="dxa"/>
            </w:tcMar>
          </w:tcPr>
          <w:p w14:paraId="58ECAD8E"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R5IND2</w:t>
            </w:r>
          </w:p>
        </w:tc>
        <w:tc>
          <w:tcPr>
            <w:tcW w:w="79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0ACB1434"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des bénéficiaires qui perçoivent une amélioration des relations et de la confiance : inter/intra-communautaire, et/ou inter/intra religieuse, et/ou intergénérationnelle</w:t>
            </w:r>
          </w:p>
          <w:p w14:paraId="2BD2CCC8"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w:t>
            </w:r>
            <w:proofErr w:type="gramStart"/>
            <w:r w:rsidRPr="00775E2D">
              <w:rPr>
                <w:rFonts w:ascii="Lato Medium" w:hAnsi="Lato Medium" w:cs="Arial"/>
                <w:color w:val="000000"/>
                <w:sz w:val="20"/>
                <w:szCs w:val="20"/>
              </w:rPr>
              <w:t>1:%</w:t>
            </w:r>
            <w:proofErr w:type="gramEnd"/>
            <w:r w:rsidRPr="00775E2D">
              <w:rPr>
                <w:rFonts w:ascii="Lato Medium" w:hAnsi="Lato Medium" w:cs="Arial"/>
                <w:color w:val="000000"/>
                <w:sz w:val="20"/>
                <w:szCs w:val="20"/>
              </w:rPr>
              <w:t xml:space="preserve"> des bénéficiaires qui estiment que les relations  et la confiance inter/intra-communautaire se sont améliorées ;</w:t>
            </w:r>
          </w:p>
          <w:p w14:paraId="5106EFD8"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w:t>
            </w:r>
            <w:proofErr w:type="gramStart"/>
            <w:r w:rsidRPr="00775E2D">
              <w:rPr>
                <w:rFonts w:ascii="Lato Medium" w:hAnsi="Lato Medium" w:cs="Arial"/>
                <w:color w:val="000000"/>
                <w:sz w:val="20"/>
                <w:szCs w:val="20"/>
              </w:rPr>
              <w:t>2:%</w:t>
            </w:r>
            <w:proofErr w:type="gramEnd"/>
            <w:r w:rsidRPr="00775E2D">
              <w:rPr>
                <w:rFonts w:ascii="Lato Medium" w:hAnsi="Lato Medium" w:cs="Arial"/>
                <w:color w:val="000000"/>
                <w:sz w:val="20"/>
                <w:szCs w:val="20"/>
              </w:rPr>
              <w:t xml:space="preserve"> des bénéficiaires qui estiment que les relations et confiance inter/intra religieuse se sont améliorées ; </w:t>
            </w:r>
          </w:p>
          <w:p w14:paraId="122C0D7C"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w:t>
            </w:r>
            <w:proofErr w:type="gramStart"/>
            <w:r w:rsidRPr="00775E2D">
              <w:rPr>
                <w:rFonts w:ascii="Lato Medium" w:hAnsi="Lato Medium" w:cs="Arial"/>
                <w:color w:val="000000"/>
                <w:sz w:val="20"/>
                <w:szCs w:val="20"/>
              </w:rPr>
              <w:t>3:%</w:t>
            </w:r>
            <w:proofErr w:type="gramEnd"/>
            <w:r w:rsidRPr="00775E2D">
              <w:rPr>
                <w:rFonts w:ascii="Lato Medium" w:hAnsi="Lato Medium" w:cs="Arial"/>
                <w:color w:val="000000"/>
                <w:sz w:val="20"/>
                <w:szCs w:val="20"/>
              </w:rPr>
              <w:t xml:space="preserve"> des bénéficiaires qui estiment que les relations et confiance intergénérationnelles se sont améliorées ; </w:t>
            </w:r>
          </w:p>
          <w:p w14:paraId="3F0E039F"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IG</w:t>
            </w:r>
            <w:proofErr w:type="gramStart"/>
            <w:r w:rsidRPr="00775E2D">
              <w:rPr>
                <w:rFonts w:ascii="Lato Medium" w:hAnsi="Lato Medium" w:cs="Arial"/>
                <w:color w:val="000000"/>
                <w:sz w:val="20"/>
                <w:szCs w:val="20"/>
              </w:rPr>
              <w:t>1:%</w:t>
            </w:r>
            <w:proofErr w:type="gramEnd"/>
            <w:r w:rsidRPr="00775E2D">
              <w:rPr>
                <w:rFonts w:ascii="Lato Medium" w:hAnsi="Lato Medium" w:cs="Arial"/>
                <w:color w:val="000000"/>
                <w:sz w:val="20"/>
                <w:szCs w:val="20"/>
              </w:rPr>
              <w:t xml:space="preserve">  de  bénéficiaires qui estiment qu'au moins 1 des 3 composantes  se sont améliorées ; </w:t>
            </w:r>
          </w:p>
          <w:p w14:paraId="17ADBFBC"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IG</w:t>
            </w:r>
            <w:proofErr w:type="gramStart"/>
            <w:r w:rsidRPr="00775E2D">
              <w:rPr>
                <w:rFonts w:ascii="Lato Medium" w:hAnsi="Lato Medium" w:cs="Arial"/>
                <w:color w:val="000000"/>
                <w:sz w:val="20"/>
                <w:szCs w:val="20"/>
              </w:rPr>
              <w:t>2:%</w:t>
            </w:r>
            <w:proofErr w:type="gramEnd"/>
            <w:r w:rsidRPr="00775E2D">
              <w:rPr>
                <w:rFonts w:ascii="Lato Medium" w:hAnsi="Lato Medium" w:cs="Arial"/>
                <w:color w:val="000000"/>
                <w:sz w:val="20"/>
                <w:szCs w:val="20"/>
              </w:rPr>
              <w:t xml:space="preserve"> de bénéficiaires qui estiment qu'au moins 2 des 3 composantes  se sont améliorées ; </w:t>
            </w:r>
          </w:p>
          <w:p w14:paraId="7FA14205" w14:textId="77777777" w:rsidR="00325536" w:rsidRPr="00775E2D" w:rsidRDefault="00A56C8E">
            <w:pPr>
              <w:widowControl w:val="0"/>
              <w:numPr>
                <w:ilvl w:val="0"/>
                <w:numId w:val="3"/>
              </w:numPr>
              <w:pBdr>
                <w:top w:val="nil"/>
                <w:left w:val="nil"/>
                <w:bottom w:val="nil"/>
                <w:right w:val="nil"/>
                <w:between w:val="nil"/>
              </w:pBdr>
              <w:rPr>
                <w:rFonts w:ascii="Lato Medium" w:hAnsi="Lato Medium" w:cs="Arial"/>
                <w:color w:val="000000"/>
                <w:sz w:val="20"/>
                <w:szCs w:val="20"/>
              </w:rPr>
            </w:pPr>
            <w:r w:rsidRPr="00775E2D">
              <w:rPr>
                <w:rFonts w:ascii="Lato Medium" w:hAnsi="Lato Medium" w:cs="Arial"/>
                <w:color w:val="000000"/>
                <w:sz w:val="20"/>
                <w:szCs w:val="20"/>
              </w:rPr>
              <w:t>IG</w:t>
            </w:r>
            <w:proofErr w:type="gramStart"/>
            <w:r w:rsidRPr="00775E2D">
              <w:rPr>
                <w:rFonts w:ascii="Lato Medium" w:hAnsi="Lato Medium" w:cs="Arial"/>
                <w:color w:val="000000"/>
                <w:sz w:val="20"/>
                <w:szCs w:val="20"/>
              </w:rPr>
              <w:t>3:%</w:t>
            </w:r>
            <w:proofErr w:type="gramEnd"/>
            <w:r w:rsidRPr="00775E2D">
              <w:rPr>
                <w:rFonts w:ascii="Lato Medium" w:hAnsi="Lato Medium" w:cs="Arial"/>
                <w:color w:val="000000"/>
                <w:sz w:val="20"/>
                <w:szCs w:val="20"/>
              </w:rPr>
              <w:t xml:space="preserve"> de  bénéficiaires qui estiment que les  3 composantes se sont améliorées.</w:t>
            </w:r>
          </w:p>
          <w:p w14:paraId="686EB8E5" w14:textId="77777777" w:rsidR="00325536" w:rsidRPr="00775E2D" w:rsidRDefault="00325536">
            <w:pPr>
              <w:widowControl w:val="0"/>
              <w:pBdr>
                <w:top w:val="nil"/>
                <w:left w:val="nil"/>
                <w:bottom w:val="nil"/>
                <w:right w:val="nil"/>
                <w:between w:val="nil"/>
              </w:pBdr>
              <w:rPr>
                <w:rFonts w:ascii="Lato Medium" w:hAnsi="Lato Medium" w:cs="Arial"/>
                <w:sz w:val="20"/>
                <w:szCs w:val="20"/>
              </w:rPr>
            </w:pPr>
          </w:p>
        </w:tc>
      </w:tr>
      <w:tr w:rsidR="00325536" w:rsidRPr="00775E2D" w14:paraId="474B50FD" w14:textId="77777777">
        <w:tc>
          <w:tcPr>
            <w:tcW w:w="1440" w:type="dxa"/>
            <w:shd w:val="clear" w:color="auto" w:fill="auto"/>
            <w:tcMar>
              <w:top w:w="100" w:type="dxa"/>
              <w:left w:w="100" w:type="dxa"/>
              <w:bottom w:w="100" w:type="dxa"/>
              <w:right w:w="100" w:type="dxa"/>
            </w:tcMar>
          </w:tcPr>
          <w:p w14:paraId="00B51772"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R5IND3</w:t>
            </w:r>
          </w:p>
        </w:tc>
        <w:tc>
          <w:tcPr>
            <w:tcW w:w="79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3E5112CE"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de répondants ciblés qui considèrent que les produits d'activités médiatiques ont contribué à améliorer leur perception des autres communautés et opinions sur les conflits les affectant.</w:t>
            </w:r>
          </w:p>
        </w:tc>
      </w:tr>
      <w:tr w:rsidR="00325536" w:rsidRPr="00775E2D" w14:paraId="7558D0FA" w14:textId="77777777">
        <w:tc>
          <w:tcPr>
            <w:tcW w:w="1440" w:type="dxa"/>
            <w:shd w:val="clear" w:color="auto" w:fill="auto"/>
            <w:tcMar>
              <w:top w:w="100" w:type="dxa"/>
              <w:left w:w="100" w:type="dxa"/>
              <w:bottom w:w="100" w:type="dxa"/>
              <w:right w:w="100" w:type="dxa"/>
            </w:tcMar>
          </w:tcPr>
          <w:p w14:paraId="2F6ECB49" w14:textId="77777777" w:rsidR="00325536" w:rsidRPr="00775E2D" w:rsidRDefault="00A56C8E">
            <w:pPr>
              <w:widowControl w:val="0"/>
              <w:pBdr>
                <w:top w:val="nil"/>
                <w:left w:val="nil"/>
                <w:bottom w:val="nil"/>
                <w:right w:val="nil"/>
                <w:between w:val="nil"/>
              </w:pBdr>
              <w:rPr>
                <w:rFonts w:ascii="Lato Medium" w:hAnsi="Lato Medium" w:cs="Arial"/>
                <w:b/>
                <w:sz w:val="20"/>
                <w:szCs w:val="20"/>
              </w:rPr>
            </w:pPr>
            <w:r w:rsidRPr="00775E2D">
              <w:rPr>
                <w:rFonts w:ascii="Lato Medium" w:hAnsi="Lato Medium" w:cs="Arial"/>
                <w:b/>
                <w:sz w:val="20"/>
                <w:szCs w:val="20"/>
              </w:rPr>
              <w:t>R5IND9</w:t>
            </w:r>
          </w:p>
        </w:tc>
        <w:tc>
          <w:tcPr>
            <w:tcW w:w="795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48796D09" w14:textId="77777777" w:rsidR="00325536" w:rsidRPr="00775E2D" w:rsidRDefault="00A56C8E">
            <w:pPr>
              <w:widowControl w:val="0"/>
              <w:pBdr>
                <w:top w:val="nil"/>
                <w:left w:val="nil"/>
                <w:bottom w:val="nil"/>
                <w:right w:val="nil"/>
                <w:between w:val="nil"/>
              </w:pBdr>
              <w:rPr>
                <w:rFonts w:ascii="Lato Medium" w:hAnsi="Lato Medium" w:cs="Arial"/>
                <w:sz w:val="20"/>
                <w:szCs w:val="20"/>
              </w:rPr>
            </w:pPr>
            <w:r w:rsidRPr="00775E2D">
              <w:rPr>
                <w:rFonts w:ascii="Lato Medium" w:hAnsi="Lato Medium" w:cs="Arial"/>
                <w:sz w:val="20"/>
                <w:szCs w:val="20"/>
              </w:rPr>
              <w:t>% des répondants dans les communes ciblées qui attestent que les mécanismes locaux de gestion des conflits contribuent à une amélioration de la prévention et gestion des conflits locaux.</w:t>
            </w:r>
          </w:p>
        </w:tc>
      </w:tr>
    </w:tbl>
    <w:p w14:paraId="6B55F76F" w14:textId="77777777" w:rsidR="00325536" w:rsidRDefault="00325536">
      <w:pPr>
        <w:pBdr>
          <w:top w:val="nil"/>
          <w:left w:val="nil"/>
          <w:bottom w:val="nil"/>
          <w:right w:val="nil"/>
          <w:between w:val="nil"/>
        </w:pBdr>
        <w:spacing w:line="360" w:lineRule="auto"/>
        <w:jc w:val="both"/>
      </w:pPr>
    </w:p>
    <w:p w14:paraId="5C025DD3" w14:textId="49B0FC8A" w:rsidR="00325536" w:rsidRDefault="008D2BB9" w:rsidP="00775E2D">
      <w:pPr>
        <w:pStyle w:val="Heading1"/>
      </w:pPr>
      <w:r>
        <w:t>Orientation</w:t>
      </w:r>
      <w:r w:rsidR="0073515D">
        <w:t>s</w:t>
      </w:r>
      <w:r>
        <w:t xml:space="preserve"> m</w:t>
      </w:r>
      <w:r w:rsidR="00A56C8E">
        <w:t>éthodologi</w:t>
      </w:r>
      <w:r>
        <w:t>que</w:t>
      </w:r>
      <w:r w:rsidR="0073515D">
        <w:t>s</w:t>
      </w:r>
    </w:p>
    <w:p w14:paraId="2910CFAD" w14:textId="65C413E2" w:rsidR="00D43C12" w:rsidRPr="00D82FEC" w:rsidRDefault="00A56C8E" w:rsidP="00E23368">
      <w:pPr>
        <w:pBdr>
          <w:top w:val="nil"/>
          <w:left w:val="nil"/>
          <w:bottom w:val="nil"/>
          <w:right w:val="nil"/>
          <w:between w:val="nil"/>
        </w:pBdr>
        <w:jc w:val="both"/>
        <w:rPr>
          <w:rFonts w:ascii="Lato Medium" w:hAnsi="Lato Medium" w:cs="Arial"/>
          <w:color w:val="000000" w:themeColor="text1"/>
        </w:rPr>
      </w:pPr>
      <w:r w:rsidRPr="00D82FEC">
        <w:rPr>
          <w:rFonts w:ascii="Lato Medium" w:hAnsi="Lato Medium" w:cs="Arial"/>
          <w:color w:val="000000" w:themeColor="text1"/>
        </w:rPr>
        <w:t>La méthodologie</w:t>
      </w:r>
      <w:r w:rsidR="00E23368" w:rsidRPr="00D82FEC">
        <w:rPr>
          <w:rFonts w:ascii="Lato Medium" w:hAnsi="Lato Medium" w:cs="Arial"/>
          <w:color w:val="000000" w:themeColor="text1"/>
        </w:rPr>
        <w:t xml:space="preserve"> à </w:t>
      </w:r>
      <w:r w:rsidRPr="00D82FEC">
        <w:rPr>
          <w:rFonts w:ascii="Lato Medium" w:hAnsi="Lato Medium" w:cs="Arial"/>
          <w:color w:val="000000" w:themeColor="text1"/>
        </w:rPr>
        <w:t>utilis</w:t>
      </w:r>
      <w:r w:rsidR="00E23368" w:rsidRPr="00D82FEC">
        <w:rPr>
          <w:rFonts w:ascii="Lato Medium" w:hAnsi="Lato Medium" w:cs="Arial"/>
          <w:color w:val="000000" w:themeColor="text1"/>
        </w:rPr>
        <w:t>er</w:t>
      </w:r>
      <w:r w:rsidRPr="00D82FEC">
        <w:rPr>
          <w:rFonts w:ascii="Lato Medium" w:hAnsi="Lato Medium" w:cs="Arial"/>
          <w:color w:val="000000" w:themeColor="text1"/>
        </w:rPr>
        <w:t xml:space="preserve"> pour conduire </w:t>
      </w:r>
      <w:r w:rsidR="00610594" w:rsidRPr="00D82FEC">
        <w:rPr>
          <w:rFonts w:ascii="Lato Medium" w:hAnsi="Lato Medium" w:cs="Arial"/>
          <w:color w:val="000000" w:themeColor="text1"/>
        </w:rPr>
        <w:t>ce</w:t>
      </w:r>
      <w:r w:rsidR="00D82FEC">
        <w:rPr>
          <w:rFonts w:ascii="Lato Medium" w:hAnsi="Lato Medium" w:cs="Arial"/>
          <w:color w:val="000000" w:themeColor="text1"/>
        </w:rPr>
        <w:t xml:space="preserve"> travail</w:t>
      </w:r>
      <w:r w:rsidRPr="00D82FEC">
        <w:rPr>
          <w:rFonts w:ascii="Lato Medium" w:hAnsi="Lato Medium" w:cs="Arial"/>
          <w:color w:val="000000" w:themeColor="text1"/>
        </w:rPr>
        <w:t xml:space="preserve"> sera basée sur une approche quantitative qui permettra </w:t>
      </w:r>
      <w:r w:rsidR="003B1A46" w:rsidRPr="00D82FEC">
        <w:rPr>
          <w:rFonts w:ascii="Lato Medium" w:hAnsi="Lato Medium" w:cs="Arial"/>
          <w:color w:val="000000" w:themeColor="text1"/>
        </w:rPr>
        <w:t>de collecter les</w:t>
      </w:r>
      <w:r w:rsidRPr="00D82FEC">
        <w:rPr>
          <w:rFonts w:ascii="Lato Medium" w:hAnsi="Lato Medium" w:cs="Arial"/>
          <w:color w:val="000000" w:themeColor="text1"/>
        </w:rPr>
        <w:t xml:space="preserve"> données</w:t>
      </w:r>
      <w:r w:rsidR="003B1A46" w:rsidRPr="00D82FEC">
        <w:rPr>
          <w:rFonts w:ascii="Lato Medium" w:hAnsi="Lato Medium" w:cs="Arial"/>
          <w:color w:val="000000" w:themeColor="text1"/>
        </w:rPr>
        <w:t xml:space="preserve"> nécessaires pour l’</w:t>
      </w:r>
      <w:r w:rsidR="00D43C12" w:rsidRPr="00D82FEC">
        <w:rPr>
          <w:rFonts w:ascii="Lato Medium" w:hAnsi="Lato Medium" w:cs="Arial"/>
          <w:color w:val="000000" w:themeColor="text1"/>
        </w:rPr>
        <w:t>analyse</w:t>
      </w:r>
      <w:r w:rsidR="003B1A46" w:rsidRPr="00D82FEC">
        <w:rPr>
          <w:rFonts w:ascii="Lato Medium" w:hAnsi="Lato Medium" w:cs="Arial"/>
          <w:color w:val="000000" w:themeColor="text1"/>
        </w:rPr>
        <w:t xml:space="preserve"> de la perception des parties prenantes du projet. </w:t>
      </w:r>
    </w:p>
    <w:p w14:paraId="4EC107FA" w14:textId="77777777" w:rsidR="00D43C12" w:rsidRDefault="00D43C12" w:rsidP="00E23368">
      <w:pPr>
        <w:pBdr>
          <w:top w:val="nil"/>
          <w:left w:val="nil"/>
          <w:bottom w:val="nil"/>
          <w:right w:val="nil"/>
          <w:between w:val="nil"/>
        </w:pBdr>
        <w:jc w:val="both"/>
        <w:rPr>
          <w:rFonts w:ascii="Lato Medium" w:hAnsi="Lato Medium" w:cs="Arial"/>
          <w:color w:val="000000"/>
        </w:rPr>
      </w:pPr>
    </w:p>
    <w:p w14:paraId="76922E4D" w14:textId="04FBE65C" w:rsidR="00325536" w:rsidRPr="00775E2D" w:rsidRDefault="00A56C8E" w:rsidP="00E23368">
      <w:pPr>
        <w:pBdr>
          <w:top w:val="nil"/>
          <w:left w:val="nil"/>
          <w:bottom w:val="nil"/>
          <w:right w:val="nil"/>
          <w:between w:val="nil"/>
        </w:pBdr>
        <w:jc w:val="both"/>
        <w:rPr>
          <w:rFonts w:ascii="Lato Medium" w:hAnsi="Lato Medium" w:cs="Arial"/>
          <w:color w:val="000000"/>
        </w:rPr>
      </w:pPr>
      <w:r w:rsidRPr="00775E2D">
        <w:rPr>
          <w:rFonts w:ascii="Lato Medium" w:hAnsi="Lato Medium" w:cs="Arial"/>
          <w:color w:val="000000"/>
        </w:rPr>
        <w:t xml:space="preserve">L’approche quantitative consistera à l’utilisation d’un questionnaire qui sera administré à un échantillon représentatif </w:t>
      </w:r>
      <w:r w:rsidR="00775E2D" w:rsidRPr="00775E2D">
        <w:rPr>
          <w:rFonts w:ascii="Lato Medium" w:hAnsi="Lato Medium" w:cs="Arial"/>
          <w:color w:val="000000"/>
        </w:rPr>
        <w:t>aux ménages bénéficiaires</w:t>
      </w:r>
      <w:r w:rsidRPr="00775E2D">
        <w:rPr>
          <w:rFonts w:ascii="Lato Medium" w:hAnsi="Lato Medium" w:cs="Arial"/>
          <w:color w:val="000000"/>
        </w:rPr>
        <w:t xml:space="preserve">. </w:t>
      </w:r>
    </w:p>
    <w:p w14:paraId="610731F0" w14:textId="4A1B3105" w:rsidR="00325536" w:rsidRPr="00D43C12" w:rsidRDefault="00A56C8E" w:rsidP="00E23368">
      <w:pPr>
        <w:pBdr>
          <w:top w:val="nil"/>
          <w:left w:val="nil"/>
          <w:bottom w:val="nil"/>
          <w:right w:val="nil"/>
          <w:between w:val="nil"/>
        </w:pBdr>
        <w:jc w:val="both"/>
        <w:rPr>
          <w:rFonts w:ascii="Lato Medium" w:hAnsi="Lato Medium" w:cs="Arial"/>
          <w:strike/>
          <w:color w:val="000000"/>
        </w:rPr>
      </w:pPr>
      <w:r w:rsidRPr="00775E2D">
        <w:rPr>
          <w:rFonts w:ascii="Lato Medium" w:hAnsi="Lato Medium" w:cs="Arial"/>
          <w:color w:val="000000"/>
        </w:rPr>
        <w:t xml:space="preserve">L’enquête de perception portera sur l'appréciation du niveau de base des indicateurs de performance du projet ; avec pour objectif de suivre la progression des effets </w:t>
      </w:r>
      <w:r w:rsidRPr="00775E2D">
        <w:rPr>
          <w:rFonts w:ascii="Lato Medium" w:hAnsi="Lato Medium" w:cs="Arial"/>
        </w:rPr>
        <w:t>attribuables</w:t>
      </w:r>
      <w:r w:rsidRPr="00775E2D">
        <w:rPr>
          <w:rFonts w:ascii="Lato Medium" w:hAnsi="Lato Medium" w:cs="Arial"/>
          <w:color w:val="000000"/>
        </w:rPr>
        <w:t xml:space="preserve"> aux actions du projet sur les bénéficiaires directs comme indirects.</w:t>
      </w:r>
    </w:p>
    <w:p w14:paraId="60AB2827" w14:textId="77777777" w:rsidR="008B0C8C" w:rsidRPr="00E96143" w:rsidRDefault="008B0C8C" w:rsidP="008B0C8C">
      <w:pPr>
        <w:pStyle w:val="Heading2"/>
      </w:pPr>
      <w:r w:rsidRPr="00E96143">
        <w:t>Cible</w:t>
      </w:r>
      <w:r>
        <w:t>s</w:t>
      </w:r>
      <w:r w:rsidRPr="00E96143">
        <w:t xml:space="preserve"> de l’étude</w:t>
      </w:r>
    </w:p>
    <w:p w14:paraId="5E2586A4" w14:textId="4C063F05" w:rsidR="008B0C8C" w:rsidRPr="00D82FEC" w:rsidRDefault="004E31D6" w:rsidP="00F87156">
      <w:pPr>
        <w:pBdr>
          <w:top w:val="nil"/>
          <w:left w:val="nil"/>
          <w:bottom w:val="nil"/>
          <w:right w:val="nil"/>
          <w:between w:val="nil"/>
        </w:pBdr>
        <w:jc w:val="both"/>
        <w:rPr>
          <w:rFonts w:ascii="Lato Medium" w:hAnsi="Lato Medium" w:cs="Arial"/>
          <w:color w:val="000000" w:themeColor="text1"/>
        </w:rPr>
      </w:pPr>
      <w:r w:rsidRPr="00D82FEC">
        <w:rPr>
          <w:rFonts w:ascii="Lato Medium" w:hAnsi="Lato Medium" w:cs="Arial"/>
          <w:color w:val="000000" w:themeColor="text1"/>
        </w:rPr>
        <w:t>L</w:t>
      </w:r>
      <w:r w:rsidR="008B0C8C" w:rsidRPr="00D82FEC">
        <w:rPr>
          <w:rFonts w:ascii="Lato Medium" w:hAnsi="Lato Medium" w:cs="Arial"/>
          <w:color w:val="000000" w:themeColor="text1"/>
        </w:rPr>
        <w:t xml:space="preserve">es cibles </w:t>
      </w:r>
      <w:r w:rsidRPr="00D82FEC">
        <w:rPr>
          <w:rFonts w:ascii="Lato Medium" w:hAnsi="Lato Medium" w:cs="Arial"/>
          <w:color w:val="000000" w:themeColor="text1"/>
        </w:rPr>
        <w:t>potentielles pour cette collecte concernent d’une part des ménages bénéficiaires direct</w:t>
      </w:r>
      <w:r w:rsidR="00D82FEC" w:rsidRPr="00D82FEC">
        <w:rPr>
          <w:rFonts w:ascii="Lato Medium" w:hAnsi="Lato Medium" w:cs="Arial"/>
          <w:color w:val="000000" w:themeColor="text1"/>
        </w:rPr>
        <w:t>s</w:t>
      </w:r>
      <w:r w:rsidRPr="00D82FEC">
        <w:rPr>
          <w:rFonts w:ascii="Lato Medium" w:hAnsi="Lato Medium" w:cs="Arial"/>
          <w:color w:val="000000" w:themeColor="text1"/>
        </w:rPr>
        <w:t xml:space="preserve"> du projet c’est-à-dire ceux qui bénéficient des activités de résilience et d’autre part, les ménages non bénéficiaires des activités de résilience, mais</w:t>
      </w:r>
      <w:r w:rsidR="00A13E4C" w:rsidRPr="00D82FEC">
        <w:rPr>
          <w:rFonts w:ascii="Lato Medium" w:hAnsi="Lato Medium" w:cs="Arial"/>
          <w:color w:val="000000" w:themeColor="text1"/>
        </w:rPr>
        <w:t xml:space="preserve"> qui</w:t>
      </w:r>
      <w:r w:rsidRPr="00D82FEC">
        <w:rPr>
          <w:rFonts w:ascii="Lato Medium" w:hAnsi="Lato Medium" w:cs="Arial"/>
          <w:color w:val="000000" w:themeColor="text1"/>
        </w:rPr>
        <w:t xml:space="preserve"> bénéficient parallèlement des activités de cohésion sociale.</w:t>
      </w:r>
      <w:r w:rsidR="00610594">
        <w:rPr>
          <w:rFonts w:ascii="Lato Medium" w:hAnsi="Lato Medium" w:cs="Arial"/>
          <w:color w:val="000000" w:themeColor="text1"/>
        </w:rPr>
        <w:t xml:space="preserve"> A cela s’ajoute les autorités locales des différentes communes d’interventions et autres cibles jugées pertinent au regard des indicateurs de cohésion sociale. </w:t>
      </w:r>
    </w:p>
    <w:p w14:paraId="5F3EF82B" w14:textId="703C91FD" w:rsidR="00767D55" w:rsidRDefault="00767D55" w:rsidP="00A13E4C">
      <w:pPr>
        <w:pStyle w:val="Heading2"/>
      </w:pPr>
      <w:r>
        <w:t>Echantillonnage</w:t>
      </w:r>
    </w:p>
    <w:p w14:paraId="5EB99430" w14:textId="3D1B58F7" w:rsidR="00A13E4C" w:rsidRPr="00D82FEC" w:rsidRDefault="00A13E4C" w:rsidP="00A13E4C">
      <w:pPr>
        <w:jc w:val="both"/>
        <w:rPr>
          <w:rFonts w:ascii="Lato Medium" w:hAnsi="Lato Medium" w:cs="Arial"/>
          <w:color w:val="000000" w:themeColor="text1"/>
        </w:rPr>
      </w:pPr>
      <w:r w:rsidRPr="00D82FEC">
        <w:rPr>
          <w:rFonts w:ascii="Lato Medium" w:hAnsi="Lato Medium" w:cs="Arial"/>
          <w:color w:val="000000" w:themeColor="text1"/>
        </w:rPr>
        <w:t xml:space="preserve">La méthodologie d’échantillonnage sera basée sur une technique qui permet non seulement </w:t>
      </w:r>
      <w:r w:rsidR="00D82FEC" w:rsidRPr="00D82FEC">
        <w:rPr>
          <w:rFonts w:ascii="Lato Medium" w:hAnsi="Lato Medium" w:cs="Arial"/>
          <w:color w:val="000000" w:themeColor="text1"/>
        </w:rPr>
        <w:t>la</w:t>
      </w:r>
      <w:r w:rsidRPr="00D82FEC">
        <w:rPr>
          <w:rFonts w:ascii="Lato Medium" w:hAnsi="Lato Medium" w:cs="Arial"/>
          <w:color w:val="000000" w:themeColor="text1"/>
        </w:rPr>
        <w:t xml:space="preserve"> représentativ</w:t>
      </w:r>
      <w:r w:rsidR="00D82FEC" w:rsidRPr="00D82FEC">
        <w:rPr>
          <w:rFonts w:ascii="Lato Medium" w:hAnsi="Lato Medium" w:cs="Arial"/>
          <w:color w:val="000000" w:themeColor="text1"/>
        </w:rPr>
        <w:t>ité</w:t>
      </w:r>
      <w:r w:rsidRPr="00D82FEC">
        <w:rPr>
          <w:rFonts w:ascii="Lato Medium" w:hAnsi="Lato Medium" w:cs="Arial"/>
          <w:color w:val="000000" w:themeColor="text1"/>
        </w:rPr>
        <w:t xml:space="preserve"> de la population cible, mais également une extrapolation des indicateurs. Par conséquent, le/l</w:t>
      </w:r>
      <w:r w:rsidR="00D82FEC" w:rsidRPr="00D82FEC">
        <w:rPr>
          <w:rFonts w:ascii="Lato Medium" w:hAnsi="Lato Medium" w:cs="Arial"/>
          <w:color w:val="000000" w:themeColor="text1"/>
        </w:rPr>
        <w:t>a</w:t>
      </w:r>
      <w:r w:rsidRPr="00D82FEC">
        <w:rPr>
          <w:rFonts w:ascii="Lato Medium" w:hAnsi="Lato Medium" w:cs="Arial"/>
          <w:color w:val="000000" w:themeColor="text1"/>
        </w:rPr>
        <w:t xml:space="preserve"> consultant/te doivent définir une technique d’échantillonnage permettant</w:t>
      </w:r>
      <w:r w:rsidR="00F87156" w:rsidRPr="00D82FEC">
        <w:rPr>
          <w:rFonts w:ascii="Lato Medium" w:hAnsi="Lato Medium" w:cs="Arial"/>
          <w:color w:val="000000" w:themeColor="text1"/>
        </w:rPr>
        <w:t xml:space="preserve"> de répondre à ce</w:t>
      </w:r>
      <w:r w:rsidR="004E4A47" w:rsidRPr="00D82FEC">
        <w:rPr>
          <w:rFonts w:ascii="Lato Medium" w:hAnsi="Lato Medium" w:cs="Arial"/>
          <w:color w:val="000000" w:themeColor="text1"/>
        </w:rPr>
        <w:t>s</w:t>
      </w:r>
      <w:r w:rsidR="00F87156" w:rsidRPr="00D82FEC">
        <w:rPr>
          <w:rFonts w:ascii="Lato Medium" w:hAnsi="Lato Medium" w:cs="Arial"/>
          <w:color w:val="000000" w:themeColor="text1"/>
        </w:rPr>
        <w:t xml:space="preserve"> besoin</w:t>
      </w:r>
      <w:r w:rsidR="004E4A47" w:rsidRPr="00D82FEC">
        <w:rPr>
          <w:rFonts w:ascii="Lato Medium" w:hAnsi="Lato Medium" w:cs="Arial"/>
          <w:color w:val="000000" w:themeColor="text1"/>
        </w:rPr>
        <w:t>s</w:t>
      </w:r>
      <w:r w:rsidR="00F87156" w:rsidRPr="00D82FEC">
        <w:rPr>
          <w:rFonts w:ascii="Lato Medium" w:hAnsi="Lato Medium" w:cs="Arial"/>
          <w:color w:val="000000" w:themeColor="text1"/>
        </w:rPr>
        <w:t xml:space="preserve">. </w:t>
      </w:r>
      <w:r w:rsidRPr="00D82FEC">
        <w:rPr>
          <w:rFonts w:ascii="Lato Medium" w:hAnsi="Lato Medium" w:cs="Arial"/>
          <w:color w:val="000000" w:themeColor="text1"/>
        </w:rPr>
        <w:t xml:space="preserve"> </w:t>
      </w:r>
    </w:p>
    <w:p w14:paraId="7B765B0D" w14:textId="61950CDC" w:rsidR="008D2BB9" w:rsidRPr="008D2BB9" w:rsidRDefault="008D2BB9" w:rsidP="0073515D">
      <w:pPr>
        <w:pStyle w:val="Heading2"/>
      </w:pPr>
      <w:r w:rsidRPr="008D2BB9">
        <w:t>Zone de couverture de l’enquête</w:t>
      </w:r>
    </w:p>
    <w:p w14:paraId="2A74F772" w14:textId="45E8B5F9" w:rsidR="00E96143" w:rsidRPr="00F87156" w:rsidRDefault="008D2BB9" w:rsidP="008D2BB9">
      <w:pPr>
        <w:pBdr>
          <w:top w:val="nil"/>
          <w:left w:val="nil"/>
          <w:bottom w:val="nil"/>
          <w:right w:val="nil"/>
          <w:between w:val="nil"/>
        </w:pBdr>
        <w:jc w:val="both"/>
        <w:rPr>
          <w:rFonts w:ascii="Lato Medium" w:hAnsi="Lato Medium" w:cs="Arial"/>
          <w:color w:val="000000"/>
        </w:rPr>
      </w:pPr>
      <w:r w:rsidRPr="00775E2D">
        <w:rPr>
          <w:rFonts w:ascii="Lato Medium" w:hAnsi="Lato Medium" w:cs="Arial"/>
          <w:color w:val="000000"/>
        </w:rPr>
        <w:t xml:space="preserve">La présente mission sera réalisée dans les 3 communes du Niger (régions de </w:t>
      </w:r>
      <w:proofErr w:type="spellStart"/>
      <w:r w:rsidRPr="00775E2D">
        <w:rPr>
          <w:rFonts w:ascii="Lato Medium" w:hAnsi="Lato Medium" w:cs="Arial"/>
          <w:color w:val="000000"/>
        </w:rPr>
        <w:t>Tillabéri</w:t>
      </w:r>
      <w:proofErr w:type="spellEnd"/>
      <w:r w:rsidRPr="00775E2D">
        <w:rPr>
          <w:rFonts w:ascii="Lato Medium" w:hAnsi="Lato Medium" w:cs="Arial"/>
          <w:color w:val="000000"/>
        </w:rPr>
        <w:t xml:space="preserve"> et Tahoua : Abala, Banibangou, Tillia), 9 communes du Burkina Faso (Provinces de Kossi, Sourou, et Tapoa : Kantchari, Diapaga, Botou, Kassoum, </w:t>
      </w:r>
      <w:proofErr w:type="spellStart"/>
      <w:r w:rsidRPr="00775E2D">
        <w:rPr>
          <w:rFonts w:ascii="Lato Medium" w:hAnsi="Lato Medium" w:cs="Arial"/>
          <w:color w:val="000000"/>
        </w:rPr>
        <w:t>Dii</w:t>
      </w:r>
      <w:proofErr w:type="spellEnd"/>
      <w:r w:rsidRPr="00775E2D">
        <w:rPr>
          <w:rFonts w:ascii="Lato Medium" w:hAnsi="Lato Medium" w:cs="Arial"/>
          <w:color w:val="000000"/>
        </w:rPr>
        <w:t xml:space="preserve">, Barani, Bomborokuy, Nouna, </w:t>
      </w:r>
      <w:proofErr w:type="spellStart"/>
      <w:r w:rsidRPr="00775E2D">
        <w:rPr>
          <w:rFonts w:ascii="Lato Medium" w:hAnsi="Lato Medium" w:cs="Arial"/>
          <w:color w:val="000000"/>
        </w:rPr>
        <w:t>Lanfiera</w:t>
      </w:r>
      <w:proofErr w:type="spellEnd"/>
      <w:r w:rsidRPr="00775E2D">
        <w:rPr>
          <w:rFonts w:ascii="Lato Medium" w:hAnsi="Lato Medium" w:cs="Arial"/>
          <w:color w:val="000000"/>
        </w:rPr>
        <w:t xml:space="preserve">) et les 9 communes du Mali (régions du Centre et du Nord : Bondo, </w:t>
      </w:r>
      <w:proofErr w:type="spellStart"/>
      <w:r w:rsidRPr="00775E2D">
        <w:rPr>
          <w:rFonts w:ascii="Lato Medium" w:hAnsi="Lato Medium" w:cs="Arial"/>
          <w:color w:val="000000"/>
        </w:rPr>
        <w:t>Dinangourou</w:t>
      </w:r>
      <w:proofErr w:type="spellEnd"/>
      <w:r w:rsidRPr="00775E2D">
        <w:rPr>
          <w:rFonts w:ascii="Lato Medium" w:hAnsi="Lato Medium" w:cs="Arial"/>
          <w:color w:val="000000"/>
        </w:rPr>
        <w:t xml:space="preserve">, Dioungani, </w:t>
      </w:r>
      <w:proofErr w:type="spellStart"/>
      <w:r w:rsidRPr="00775E2D">
        <w:rPr>
          <w:rFonts w:ascii="Lato Medium" w:hAnsi="Lato Medium" w:cs="Arial"/>
          <w:color w:val="000000"/>
        </w:rPr>
        <w:t>Dougoutèné</w:t>
      </w:r>
      <w:proofErr w:type="spellEnd"/>
      <w:r w:rsidRPr="00775E2D">
        <w:rPr>
          <w:rFonts w:ascii="Lato Medium" w:hAnsi="Lato Medium" w:cs="Arial"/>
          <w:color w:val="000000"/>
        </w:rPr>
        <w:t xml:space="preserve"> I, Koro, Yoro, N’Tillit, Tessit, Anderamboukane. </w:t>
      </w:r>
    </w:p>
    <w:p w14:paraId="7B7F98C6" w14:textId="2FF09360" w:rsidR="00767D55" w:rsidRDefault="00D13110" w:rsidP="00D13110">
      <w:pPr>
        <w:pStyle w:val="Heading2"/>
      </w:pPr>
      <w:r>
        <w:t>Plan de travail provisoire</w:t>
      </w:r>
    </w:p>
    <w:p w14:paraId="63631308" w14:textId="6ADDF9F6" w:rsidR="008B0C8C" w:rsidRDefault="008B0C8C" w:rsidP="008B0C8C">
      <w:pPr>
        <w:pBdr>
          <w:top w:val="nil"/>
          <w:left w:val="nil"/>
          <w:bottom w:val="nil"/>
          <w:right w:val="nil"/>
          <w:between w:val="nil"/>
        </w:pBdr>
        <w:spacing w:after="200"/>
        <w:jc w:val="both"/>
        <w:rPr>
          <w:rFonts w:ascii="Lato Medium" w:hAnsi="Lato Medium" w:cs="Arial"/>
          <w:color w:val="000000"/>
        </w:rPr>
      </w:pPr>
      <w:r w:rsidRPr="00775E2D">
        <w:rPr>
          <w:rFonts w:ascii="Lato Medium" w:hAnsi="Lato Medium" w:cs="Arial"/>
          <w:color w:val="000000"/>
        </w:rPr>
        <w:t xml:space="preserve">La mission a une durée de Vingt-deux (22) jours ouvrables étalés sur une période de trente-quatre (34) jours à compter de la date de signature du contrat. Les trente-quatre (34) jours incluent les phases préparatoires et la rédaction des rapports par le consultant (Provisoire, final et définitif) ainsi que le temps pour les amendements des différents outils et rapports par le staff d’Action contre la Faim. Le consultant mettra tout en œuvre pour respecter le délai de dépôt des rapports de l’étude. </w:t>
      </w:r>
    </w:p>
    <w:tbl>
      <w:tblPr>
        <w:tblW w:w="9334" w:type="dxa"/>
        <w:tblInd w:w="75" w:type="dxa"/>
        <w:tblCellMar>
          <w:left w:w="70" w:type="dxa"/>
          <w:right w:w="70" w:type="dxa"/>
        </w:tblCellMar>
        <w:tblLook w:val="04A0" w:firstRow="1" w:lastRow="0" w:firstColumn="1" w:lastColumn="0" w:noHBand="0" w:noVBand="1"/>
      </w:tblPr>
      <w:tblGrid>
        <w:gridCol w:w="5637"/>
        <w:gridCol w:w="1429"/>
        <w:gridCol w:w="1030"/>
        <w:gridCol w:w="1242"/>
      </w:tblGrid>
      <w:tr w:rsidR="00C3180C" w14:paraId="1301C381" w14:textId="77777777" w:rsidTr="00C3180C">
        <w:trPr>
          <w:trHeight w:val="288"/>
        </w:trPr>
        <w:tc>
          <w:tcPr>
            <w:tcW w:w="563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46EAC65" w14:textId="77777777" w:rsidR="00C3180C" w:rsidRDefault="00C3180C">
            <w:pPr>
              <w:rPr>
                <w:rFonts w:ascii="Arial" w:hAnsi="Arial" w:cs="Arial"/>
                <w:b/>
                <w:bCs/>
                <w:color w:val="000000"/>
                <w:sz w:val="22"/>
                <w:szCs w:val="22"/>
              </w:rPr>
            </w:pPr>
            <w:r>
              <w:rPr>
                <w:rFonts w:ascii="Arial" w:hAnsi="Arial" w:cs="Arial"/>
                <w:b/>
                <w:bCs/>
                <w:color w:val="000000"/>
                <w:sz w:val="22"/>
                <w:szCs w:val="22"/>
              </w:rPr>
              <w:t xml:space="preserve">1. Signature du contrat/ Réunion de cadrage </w:t>
            </w:r>
          </w:p>
        </w:tc>
        <w:tc>
          <w:tcPr>
            <w:tcW w:w="1429" w:type="dxa"/>
            <w:tcBorders>
              <w:top w:val="single" w:sz="4" w:space="0" w:color="auto"/>
              <w:left w:val="nil"/>
              <w:bottom w:val="single" w:sz="4" w:space="0" w:color="auto"/>
              <w:right w:val="single" w:sz="4" w:space="0" w:color="auto"/>
            </w:tcBorders>
            <w:shd w:val="clear" w:color="000000" w:fill="D9E1F2"/>
            <w:noWrap/>
            <w:vAlign w:val="bottom"/>
            <w:hideMark/>
          </w:tcPr>
          <w:p w14:paraId="54D89D3F" w14:textId="77777777" w:rsidR="00C3180C" w:rsidRDefault="00C3180C">
            <w:pPr>
              <w:rPr>
                <w:rFonts w:ascii="Arial" w:hAnsi="Arial" w:cs="Arial"/>
                <w:b/>
                <w:bCs/>
                <w:color w:val="000000"/>
                <w:sz w:val="22"/>
                <w:szCs w:val="22"/>
              </w:rPr>
            </w:pPr>
            <w:r>
              <w:rPr>
                <w:rFonts w:ascii="Arial" w:hAnsi="Arial" w:cs="Arial"/>
                <w:b/>
                <w:bCs/>
                <w:color w:val="000000"/>
                <w:sz w:val="22"/>
                <w:szCs w:val="22"/>
              </w:rPr>
              <w:t>D0</w:t>
            </w:r>
          </w:p>
        </w:tc>
        <w:tc>
          <w:tcPr>
            <w:tcW w:w="1030" w:type="dxa"/>
            <w:tcBorders>
              <w:top w:val="single" w:sz="4" w:space="0" w:color="auto"/>
              <w:left w:val="nil"/>
              <w:bottom w:val="single" w:sz="4" w:space="0" w:color="auto"/>
              <w:right w:val="single" w:sz="4" w:space="0" w:color="auto"/>
            </w:tcBorders>
            <w:shd w:val="clear" w:color="000000" w:fill="D9E1F2"/>
            <w:noWrap/>
            <w:vAlign w:val="bottom"/>
            <w:hideMark/>
          </w:tcPr>
          <w:p w14:paraId="15154BC9" w14:textId="77777777" w:rsidR="00C3180C" w:rsidRDefault="00C3180C">
            <w:pPr>
              <w:rPr>
                <w:rFonts w:ascii="Arial" w:hAnsi="Arial" w:cs="Arial"/>
                <w:b/>
                <w:bCs/>
                <w:color w:val="000000"/>
                <w:sz w:val="22"/>
                <w:szCs w:val="22"/>
              </w:rPr>
            </w:pPr>
            <w:r>
              <w:rPr>
                <w:rFonts w:ascii="Arial" w:hAnsi="Arial" w:cs="Arial"/>
                <w:b/>
                <w:bCs/>
                <w:color w:val="000000"/>
                <w:sz w:val="22"/>
                <w:szCs w:val="22"/>
              </w:rPr>
              <w:t>Nombre de jrs</w:t>
            </w:r>
          </w:p>
        </w:tc>
        <w:tc>
          <w:tcPr>
            <w:tcW w:w="1236" w:type="dxa"/>
            <w:tcBorders>
              <w:top w:val="single" w:sz="4" w:space="0" w:color="auto"/>
              <w:left w:val="nil"/>
              <w:bottom w:val="single" w:sz="4" w:space="0" w:color="auto"/>
              <w:right w:val="single" w:sz="4" w:space="0" w:color="auto"/>
            </w:tcBorders>
            <w:shd w:val="clear" w:color="000000" w:fill="D9E1F2"/>
            <w:noWrap/>
            <w:vAlign w:val="bottom"/>
            <w:hideMark/>
          </w:tcPr>
          <w:p w14:paraId="6D0925F3" w14:textId="309936D8" w:rsidR="00C3180C" w:rsidRDefault="006F1BF9">
            <w:pPr>
              <w:jc w:val="right"/>
              <w:rPr>
                <w:rFonts w:ascii="Arial" w:hAnsi="Arial" w:cs="Arial"/>
                <w:b/>
                <w:bCs/>
                <w:color w:val="000000"/>
                <w:sz w:val="22"/>
                <w:szCs w:val="22"/>
              </w:rPr>
            </w:pPr>
            <w:r>
              <w:rPr>
                <w:rFonts w:ascii="Arial" w:hAnsi="Arial" w:cs="Arial"/>
                <w:b/>
                <w:bCs/>
                <w:color w:val="000000"/>
                <w:sz w:val="22"/>
                <w:szCs w:val="22"/>
              </w:rPr>
              <w:t>03</w:t>
            </w:r>
            <w:r w:rsidR="00C3180C">
              <w:rPr>
                <w:rFonts w:ascii="Arial" w:hAnsi="Arial" w:cs="Arial"/>
                <w:b/>
                <w:bCs/>
                <w:color w:val="000000"/>
                <w:sz w:val="22"/>
                <w:szCs w:val="22"/>
              </w:rPr>
              <w:t>/</w:t>
            </w:r>
            <w:r>
              <w:rPr>
                <w:rFonts w:ascii="Arial" w:hAnsi="Arial" w:cs="Arial"/>
                <w:b/>
                <w:bCs/>
                <w:color w:val="000000"/>
                <w:sz w:val="22"/>
                <w:szCs w:val="22"/>
              </w:rPr>
              <w:t>01</w:t>
            </w:r>
            <w:r w:rsidR="00C3180C">
              <w:rPr>
                <w:rFonts w:ascii="Arial" w:hAnsi="Arial" w:cs="Arial"/>
                <w:b/>
                <w:bCs/>
                <w:color w:val="000000"/>
                <w:sz w:val="22"/>
                <w:szCs w:val="22"/>
              </w:rPr>
              <w:t>/202</w:t>
            </w:r>
            <w:r>
              <w:rPr>
                <w:rFonts w:ascii="Arial" w:hAnsi="Arial" w:cs="Arial"/>
                <w:b/>
                <w:bCs/>
                <w:color w:val="000000"/>
                <w:sz w:val="22"/>
                <w:szCs w:val="22"/>
              </w:rPr>
              <w:t>2</w:t>
            </w:r>
          </w:p>
        </w:tc>
      </w:tr>
      <w:tr w:rsidR="00C3180C" w14:paraId="7117324E" w14:textId="77777777" w:rsidTr="00C3180C">
        <w:trPr>
          <w:trHeight w:val="333"/>
        </w:trPr>
        <w:tc>
          <w:tcPr>
            <w:tcW w:w="9334" w:type="dxa"/>
            <w:gridSpan w:val="4"/>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5B5F8D1" w14:textId="03154E65" w:rsidR="00C3180C" w:rsidRDefault="00C3180C">
            <w:pPr>
              <w:jc w:val="center"/>
              <w:rPr>
                <w:rFonts w:ascii="Arial" w:hAnsi="Arial" w:cs="Arial"/>
                <w:b/>
                <w:bCs/>
                <w:color w:val="FF0000"/>
                <w:sz w:val="22"/>
                <w:szCs w:val="22"/>
              </w:rPr>
            </w:pPr>
            <w:r>
              <w:rPr>
                <w:rFonts w:ascii="Arial" w:hAnsi="Arial" w:cs="Arial"/>
                <w:b/>
                <w:bCs/>
                <w:color w:val="FF0000"/>
                <w:sz w:val="22"/>
                <w:szCs w:val="22"/>
              </w:rPr>
              <w:t xml:space="preserve">A.1.Phase opérationnelle de la collecte </w:t>
            </w:r>
          </w:p>
        </w:tc>
      </w:tr>
      <w:tr w:rsidR="00C3180C" w14:paraId="171B0C76"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21F1C603" w14:textId="77777777" w:rsidR="00C3180C" w:rsidRDefault="00C3180C">
            <w:pPr>
              <w:rPr>
                <w:rFonts w:ascii="Arial" w:hAnsi="Arial" w:cs="Arial"/>
                <w:color w:val="000000"/>
                <w:sz w:val="22"/>
                <w:szCs w:val="22"/>
              </w:rPr>
            </w:pPr>
            <w:r>
              <w:rPr>
                <w:rFonts w:ascii="Arial" w:hAnsi="Arial" w:cs="Arial"/>
                <w:color w:val="000000"/>
                <w:sz w:val="22"/>
                <w:szCs w:val="22"/>
              </w:rPr>
              <w:t xml:space="preserve">2. Elaboration de des outils de collectes des données </w:t>
            </w:r>
          </w:p>
        </w:tc>
        <w:tc>
          <w:tcPr>
            <w:tcW w:w="1429" w:type="dxa"/>
            <w:tcBorders>
              <w:top w:val="nil"/>
              <w:left w:val="nil"/>
              <w:bottom w:val="single" w:sz="4" w:space="0" w:color="auto"/>
              <w:right w:val="single" w:sz="4" w:space="0" w:color="auto"/>
            </w:tcBorders>
            <w:shd w:val="clear" w:color="auto" w:fill="auto"/>
            <w:noWrap/>
            <w:vAlign w:val="bottom"/>
            <w:hideMark/>
          </w:tcPr>
          <w:p w14:paraId="53461550" w14:textId="77777777" w:rsidR="00C3180C" w:rsidRDefault="00C3180C">
            <w:pPr>
              <w:rPr>
                <w:rFonts w:ascii="Arial" w:hAnsi="Arial" w:cs="Arial"/>
                <w:color w:val="000000"/>
                <w:sz w:val="22"/>
                <w:szCs w:val="22"/>
              </w:rPr>
            </w:pPr>
            <w:r>
              <w:rPr>
                <w:rFonts w:ascii="Arial" w:hAnsi="Arial" w:cs="Arial"/>
                <w:color w:val="000000"/>
                <w:sz w:val="22"/>
                <w:szCs w:val="22"/>
              </w:rPr>
              <w:t>D1=D0+ 5jrs</w:t>
            </w:r>
          </w:p>
        </w:tc>
        <w:tc>
          <w:tcPr>
            <w:tcW w:w="1030" w:type="dxa"/>
            <w:tcBorders>
              <w:top w:val="nil"/>
              <w:left w:val="nil"/>
              <w:bottom w:val="single" w:sz="4" w:space="0" w:color="auto"/>
              <w:right w:val="single" w:sz="4" w:space="0" w:color="auto"/>
            </w:tcBorders>
            <w:shd w:val="clear" w:color="auto" w:fill="auto"/>
            <w:noWrap/>
            <w:vAlign w:val="bottom"/>
            <w:hideMark/>
          </w:tcPr>
          <w:p w14:paraId="42AC8F0E" w14:textId="4933B392" w:rsidR="00C3180C" w:rsidRDefault="006F1BF9">
            <w:pPr>
              <w:jc w:val="right"/>
              <w:rPr>
                <w:rFonts w:ascii="Arial" w:hAnsi="Arial" w:cs="Arial"/>
                <w:color w:val="000000"/>
                <w:sz w:val="22"/>
                <w:szCs w:val="22"/>
              </w:rPr>
            </w:pPr>
            <w:r>
              <w:rPr>
                <w:rFonts w:ascii="Arial" w:hAnsi="Arial" w:cs="Arial"/>
                <w:color w:val="000000"/>
                <w:sz w:val="22"/>
                <w:szCs w:val="22"/>
              </w:rPr>
              <w:t>5</w:t>
            </w:r>
          </w:p>
        </w:tc>
        <w:tc>
          <w:tcPr>
            <w:tcW w:w="1236" w:type="dxa"/>
            <w:tcBorders>
              <w:top w:val="nil"/>
              <w:left w:val="nil"/>
              <w:bottom w:val="single" w:sz="4" w:space="0" w:color="auto"/>
              <w:right w:val="single" w:sz="4" w:space="0" w:color="auto"/>
            </w:tcBorders>
            <w:shd w:val="clear" w:color="auto" w:fill="auto"/>
            <w:noWrap/>
            <w:vAlign w:val="bottom"/>
            <w:hideMark/>
          </w:tcPr>
          <w:p w14:paraId="70F8E2A0" w14:textId="4552D863" w:rsidR="00C3180C" w:rsidRDefault="006F1BF9">
            <w:pPr>
              <w:jc w:val="right"/>
              <w:rPr>
                <w:rFonts w:ascii="Arial" w:hAnsi="Arial" w:cs="Arial"/>
                <w:color w:val="000000"/>
                <w:sz w:val="22"/>
                <w:szCs w:val="22"/>
              </w:rPr>
            </w:pPr>
            <w:r>
              <w:rPr>
                <w:rFonts w:ascii="Arial" w:hAnsi="Arial" w:cs="Arial"/>
                <w:color w:val="000000"/>
                <w:sz w:val="22"/>
                <w:szCs w:val="22"/>
              </w:rPr>
              <w:t>08</w:t>
            </w:r>
            <w:r w:rsidR="00C3180C">
              <w:rPr>
                <w:rFonts w:ascii="Arial" w:hAnsi="Arial" w:cs="Arial"/>
                <w:color w:val="000000"/>
                <w:sz w:val="22"/>
                <w:szCs w:val="22"/>
              </w:rPr>
              <w:t>/</w:t>
            </w:r>
            <w:r>
              <w:rPr>
                <w:rFonts w:ascii="Arial" w:hAnsi="Arial" w:cs="Arial"/>
                <w:color w:val="000000"/>
                <w:sz w:val="22"/>
                <w:szCs w:val="22"/>
              </w:rPr>
              <w:t>01</w:t>
            </w:r>
            <w:r w:rsidR="00C3180C">
              <w:rPr>
                <w:rFonts w:ascii="Arial" w:hAnsi="Arial" w:cs="Arial"/>
                <w:color w:val="000000"/>
                <w:sz w:val="22"/>
                <w:szCs w:val="22"/>
              </w:rPr>
              <w:t>/202</w:t>
            </w:r>
            <w:r>
              <w:rPr>
                <w:rFonts w:ascii="Arial" w:hAnsi="Arial" w:cs="Arial"/>
                <w:color w:val="000000"/>
                <w:sz w:val="22"/>
                <w:szCs w:val="22"/>
              </w:rPr>
              <w:t>2</w:t>
            </w:r>
          </w:p>
        </w:tc>
      </w:tr>
      <w:tr w:rsidR="00C3180C" w14:paraId="24C3B455"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03B9D9EC" w14:textId="77777777" w:rsidR="00C3180C" w:rsidRDefault="00C3180C">
            <w:pPr>
              <w:rPr>
                <w:rFonts w:ascii="Arial" w:hAnsi="Arial" w:cs="Arial"/>
                <w:color w:val="000000"/>
                <w:sz w:val="22"/>
                <w:szCs w:val="22"/>
              </w:rPr>
            </w:pPr>
            <w:r>
              <w:rPr>
                <w:rFonts w:ascii="Arial" w:hAnsi="Arial" w:cs="Arial"/>
                <w:color w:val="000000"/>
                <w:sz w:val="22"/>
                <w:szCs w:val="22"/>
              </w:rPr>
              <w:t xml:space="preserve">3. Intégration des amendements </w:t>
            </w:r>
          </w:p>
        </w:tc>
        <w:tc>
          <w:tcPr>
            <w:tcW w:w="1429" w:type="dxa"/>
            <w:tcBorders>
              <w:top w:val="nil"/>
              <w:left w:val="nil"/>
              <w:bottom w:val="single" w:sz="4" w:space="0" w:color="auto"/>
              <w:right w:val="single" w:sz="4" w:space="0" w:color="auto"/>
            </w:tcBorders>
            <w:shd w:val="clear" w:color="auto" w:fill="auto"/>
            <w:noWrap/>
            <w:vAlign w:val="bottom"/>
            <w:hideMark/>
          </w:tcPr>
          <w:p w14:paraId="0BE9D80D" w14:textId="77777777" w:rsidR="00C3180C" w:rsidRDefault="00C3180C">
            <w:pPr>
              <w:rPr>
                <w:rFonts w:ascii="Arial" w:hAnsi="Arial" w:cs="Arial"/>
                <w:color w:val="000000"/>
                <w:sz w:val="22"/>
                <w:szCs w:val="22"/>
              </w:rPr>
            </w:pPr>
            <w:r>
              <w:rPr>
                <w:rFonts w:ascii="Arial" w:hAnsi="Arial" w:cs="Arial"/>
                <w:color w:val="000000"/>
                <w:sz w:val="22"/>
                <w:szCs w:val="22"/>
              </w:rPr>
              <w:t>D2=D0+ 6 jrs</w:t>
            </w:r>
          </w:p>
        </w:tc>
        <w:tc>
          <w:tcPr>
            <w:tcW w:w="1030" w:type="dxa"/>
            <w:tcBorders>
              <w:top w:val="nil"/>
              <w:left w:val="nil"/>
              <w:bottom w:val="single" w:sz="4" w:space="0" w:color="auto"/>
              <w:right w:val="single" w:sz="4" w:space="0" w:color="auto"/>
            </w:tcBorders>
            <w:shd w:val="clear" w:color="auto" w:fill="auto"/>
            <w:noWrap/>
            <w:vAlign w:val="bottom"/>
            <w:hideMark/>
          </w:tcPr>
          <w:p w14:paraId="25122FBC" w14:textId="77777777" w:rsidR="00C3180C" w:rsidRDefault="00C3180C">
            <w:pPr>
              <w:jc w:val="right"/>
              <w:rPr>
                <w:rFonts w:ascii="Arial" w:hAnsi="Arial" w:cs="Arial"/>
                <w:color w:val="000000"/>
                <w:sz w:val="22"/>
                <w:szCs w:val="22"/>
              </w:rPr>
            </w:pPr>
            <w:r>
              <w:rPr>
                <w:rFonts w:ascii="Arial" w:hAnsi="Arial" w:cs="Arial"/>
                <w:color w:val="000000"/>
                <w:sz w:val="22"/>
                <w:szCs w:val="22"/>
              </w:rPr>
              <w:t>1</w:t>
            </w:r>
          </w:p>
        </w:tc>
        <w:tc>
          <w:tcPr>
            <w:tcW w:w="1236" w:type="dxa"/>
            <w:tcBorders>
              <w:top w:val="nil"/>
              <w:left w:val="nil"/>
              <w:bottom w:val="single" w:sz="4" w:space="0" w:color="auto"/>
              <w:right w:val="single" w:sz="4" w:space="0" w:color="auto"/>
            </w:tcBorders>
            <w:shd w:val="clear" w:color="auto" w:fill="auto"/>
            <w:noWrap/>
            <w:vAlign w:val="bottom"/>
            <w:hideMark/>
          </w:tcPr>
          <w:p w14:paraId="45BDFDF0" w14:textId="5871F5C4" w:rsidR="00C3180C" w:rsidRDefault="006F1BF9">
            <w:pPr>
              <w:jc w:val="right"/>
              <w:rPr>
                <w:rFonts w:ascii="Arial" w:hAnsi="Arial" w:cs="Arial"/>
                <w:color w:val="000000"/>
                <w:sz w:val="22"/>
                <w:szCs w:val="22"/>
              </w:rPr>
            </w:pPr>
            <w:r>
              <w:rPr>
                <w:rFonts w:ascii="Arial" w:hAnsi="Arial" w:cs="Arial"/>
                <w:color w:val="000000"/>
                <w:sz w:val="22"/>
                <w:szCs w:val="22"/>
              </w:rPr>
              <w:t>09</w:t>
            </w:r>
            <w:r w:rsidR="00C3180C">
              <w:rPr>
                <w:rFonts w:ascii="Arial" w:hAnsi="Arial" w:cs="Arial"/>
                <w:color w:val="000000"/>
                <w:sz w:val="22"/>
                <w:szCs w:val="22"/>
              </w:rPr>
              <w:t>/</w:t>
            </w:r>
            <w:r>
              <w:rPr>
                <w:rFonts w:ascii="Arial" w:hAnsi="Arial" w:cs="Arial"/>
                <w:color w:val="000000"/>
                <w:sz w:val="22"/>
                <w:szCs w:val="22"/>
              </w:rPr>
              <w:t>01/2022</w:t>
            </w:r>
          </w:p>
        </w:tc>
      </w:tr>
      <w:tr w:rsidR="00C3180C" w14:paraId="6004ECE4"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02E9FA0C" w14:textId="6C1C5820" w:rsidR="00C3180C" w:rsidRDefault="00C3180C">
            <w:pPr>
              <w:rPr>
                <w:rFonts w:ascii="Arial" w:hAnsi="Arial" w:cs="Arial"/>
                <w:color w:val="000000"/>
                <w:sz w:val="22"/>
                <w:szCs w:val="22"/>
              </w:rPr>
            </w:pPr>
            <w:r>
              <w:rPr>
                <w:rFonts w:ascii="Arial" w:hAnsi="Arial" w:cs="Arial"/>
                <w:color w:val="000000"/>
                <w:sz w:val="22"/>
                <w:szCs w:val="22"/>
              </w:rPr>
              <w:t xml:space="preserve">4. Formation des agents enquêteurs </w:t>
            </w:r>
          </w:p>
        </w:tc>
        <w:tc>
          <w:tcPr>
            <w:tcW w:w="1429" w:type="dxa"/>
            <w:tcBorders>
              <w:top w:val="nil"/>
              <w:left w:val="nil"/>
              <w:bottom w:val="single" w:sz="4" w:space="0" w:color="auto"/>
              <w:right w:val="single" w:sz="4" w:space="0" w:color="auto"/>
            </w:tcBorders>
            <w:shd w:val="clear" w:color="auto" w:fill="auto"/>
            <w:noWrap/>
            <w:vAlign w:val="bottom"/>
            <w:hideMark/>
          </w:tcPr>
          <w:p w14:paraId="652A57AD" w14:textId="77777777" w:rsidR="00C3180C" w:rsidRDefault="00C3180C">
            <w:pPr>
              <w:rPr>
                <w:rFonts w:ascii="Arial" w:hAnsi="Arial" w:cs="Arial"/>
                <w:color w:val="000000"/>
                <w:sz w:val="22"/>
                <w:szCs w:val="22"/>
              </w:rPr>
            </w:pPr>
            <w:r>
              <w:rPr>
                <w:rFonts w:ascii="Arial" w:hAnsi="Arial" w:cs="Arial"/>
                <w:color w:val="000000"/>
                <w:sz w:val="22"/>
                <w:szCs w:val="22"/>
              </w:rPr>
              <w:t>D2=D0+ 8 jrs</w:t>
            </w:r>
          </w:p>
        </w:tc>
        <w:tc>
          <w:tcPr>
            <w:tcW w:w="1030" w:type="dxa"/>
            <w:tcBorders>
              <w:top w:val="nil"/>
              <w:left w:val="nil"/>
              <w:bottom w:val="single" w:sz="4" w:space="0" w:color="auto"/>
              <w:right w:val="single" w:sz="4" w:space="0" w:color="auto"/>
            </w:tcBorders>
            <w:shd w:val="clear" w:color="auto" w:fill="auto"/>
            <w:noWrap/>
            <w:vAlign w:val="bottom"/>
            <w:hideMark/>
          </w:tcPr>
          <w:p w14:paraId="24728655" w14:textId="77777777" w:rsidR="00C3180C" w:rsidRDefault="00C3180C">
            <w:pPr>
              <w:jc w:val="right"/>
              <w:rPr>
                <w:rFonts w:ascii="Arial" w:hAnsi="Arial" w:cs="Arial"/>
                <w:color w:val="000000"/>
                <w:sz w:val="22"/>
                <w:szCs w:val="22"/>
              </w:rPr>
            </w:pPr>
            <w:r>
              <w:rPr>
                <w:rFonts w:ascii="Arial" w:hAnsi="Arial" w:cs="Arial"/>
                <w:color w:val="000000"/>
                <w:sz w:val="22"/>
                <w:szCs w:val="22"/>
              </w:rPr>
              <w:t>2</w:t>
            </w:r>
          </w:p>
        </w:tc>
        <w:tc>
          <w:tcPr>
            <w:tcW w:w="1236" w:type="dxa"/>
            <w:tcBorders>
              <w:top w:val="nil"/>
              <w:left w:val="nil"/>
              <w:bottom w:val="single" w:sz="4" w:space="0" w:color="auto"/>
              <w:right w:val="single" w:sz="4" w:space="0" w:color="auto"/>
            </w:tcBorders>
            <w:shd w:val="clear" w:color="auto" w:fill="auto"/>
            <w:noWrap/>
            <w:vAlign w:val="bottom"/>
            <w:hideMark/>
          </w:tcPr>
          <w:p w14:paraId="5898265F" w14:textId="6E03AF27" w:rsidR="00C3180C" w:rsidRDefault="006F1BF9">
            <w:pPr>
              <w:jc w:val="right"/>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/01/2022</w:t>
            </w:r>
          </w:p>
        </w:tc>
      </w:tr>
      <w:tr w:rsidR="00C3180C" w14:paraId="264B3FBC"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3800D3A0" w14:textId="31E69CFA" w:rsidR="00C3180C" w:rsidRDefault="00C3180C">
            <w:pPr>
              <w:rPr>
                <w:rFonts w:ascii="Arial" w:hAnsi="Arial" w:cs="Arial"/>
                <w:color w:val="000000"/>
                <w:sz w:val="22"/>
                <w:szCs w:val="22"/>
              </w:rPr>
            </w:pPr>
            <w:r>
              <w:rPr>
                <w:rFonts w:ascii="Arial" w:hAnsi="Arial" w:cs="Arial"/>
                <w:color w:val="000000"/>
                <w:sz w:val="22"/>
                <w:szCs w:val="22"/>
              </w:rPr>
              <w:t xml:space="preserve">5. Pré-test des outils de collecte des données </w:t>
            </w:r>
          </w:p>
        </w:tc>
        <w:tc>
          <w:tcPr>
            <w:tcW w:w="1429" w:type="dxa"/>
            <w:tcBorders>
              <w:top w:val="nil"/>
              <w:left w:val="nil"/>
              <w:bottom w:val="single" w:sz="4" w:space="0" w:color="auto"/>
              <w:right w:val="single" w:sz="4" w:space="0" w:color="auto"/>
            </w:tcBorders>
            <w:shd w:val="clear" w:color="auto" w:fill="auto"/>
            <w:noWrap/>
            <w:vAlign w:val="bottom"/>
            <w:hideMark/>
          </w:tcPr>
          <w:p w14:paraId="12C37114" w14:textId="77777777" w:rsidR="00C3180C" w:rsidRDefault="00C3180C">
            <w:pPr>
              <w:rPr>
                <w:rFonts w:ascii="Arial" w:hAnsi="Arial" w:cs="Arial"/>
                <w:color w:val="000000"/>
                <w:sz w:val="22"/>
                <w:szCs w:val="22"/>
              </w:rPr>
            </w:pPr>
            <w:r>
              <w:rPr>
                <w:rFonts w:ascii="Arial" w:hAnsi="Arial" w:cs="Arial"/>
                <w:color w:val="000000"/>
                <w:sz w:val="22"/>
                <w:szCs w:val="22"/>
              </w:rPr>
              <w:t>D2=D0+ 9 jrs</w:t>
            </w:r>
          </w:p>
        </w:tc>
        <w:tc>
          <w:tcPr>
            <w:tcW w:w="1030" w:type="dxa"/>
            <w:tcBorders>
              <w:top w:val="nil"/>
              <w:left w:val="nil"/>
              <w:bottom w:val="single" w:sz="4" w:space="0" w:color="auto"/>
              <w:right w:val="single" w:sz="4" w:space="0" w:color="auto"/>
            </w:tcBorders>
            <w:shd w:val="clear" w:color="auto" w:fill="auto"/>
            <w:noWrap/>
            <w:vAlign w:val="bottom"/>
            <w:hideMark/>
          </w:tcPr>
          <w:p w14:paraId="6ED5B879" w14:textId="77777777" w:rsidR="00C3180C" w:rsidRDefault="00C3180C">
            <w:pPr>
              <w:jc w:val="right"/>
              <w:rPr>
                <w:rFonts w:ascii="Arial" w:hAnsi="Arial" w:cs="Arial"/>
                <w:color w:val="000000"/>
                <w:sz w:val="22"/>
                <w:szCs w:val="22"/>
              </w:rPr>
            </w:pPr>
            <w:r>
              <w:rPr>
                <w:rFonts w:ascii="Arial" w:hAnsi="Arial" w:cs="Arial"/>
                <w:color w:val="000000"/>
                <w:sz w:val="22"/>
                <w:szCs w:val="22"/>
              </w:rPr>
              <w:t>1</w:t>
            </w:r>
          </w:p>
        </w:tc>
        <w:tc>
          <w:tcPr>
            <w:tcW w:w="1236" w:type="dxa"/>
            <w:tcBorders>
              <w:top w:val="nil"/>
              <w:left w:val="nil"/>
              <w:bottom w:val="single" w:sz="4" w:space="0" w:color="auto"/>
              <w:right w:val="single" w:sz="4" w:space="0" w:color="auto"/>
            </w:tcBorders>
            <w:shd w:val="clear" w:color="auto" w:fill="auto"/>
            <w:noWrap/>
            <w:vAlign w:val="bottom"/>
            <w:hideMark/>
          </w:tcPr>
          <w:p w14:paraId="1812DA3E" w14:textId="102EAC57" w:rsidR="00C3180C" w:rsidRDefault="006F1BF9">
            <w:pPr>
              <w:jc w:val="right"/>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/01/2022</w:t>
            </w:r>
          </w:p>
        </w:tc>
      </w:tr>
      <w:tr w:rsidR="00C3180C" w14:paraId="0C1A475C"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2FD8E684" w14:textId="77777777" w:rsidR="00C3180C" w:rsidRDefault="00C3180C">
            <w:pPr>
              <w:rPr>
                <w:rFonts w:ascii="Arial" w:hAnsi="Arial" w:cs="Arial"/>
                <w:color w:val="000000"/>
                <w:sz w:val="22"/>
                <w:szCs w:val="22"/>
              </w:rPr>
            </w:pPr>
            <w:r>
              <w:rPr>
                <w:rFonts w:ascii="Arial" w:hAnsi="Arial" w:cs="Arial"/>
                <w:color w:val="000000"/>
                <w:sz w:val="22"/>
                <w:szCs w:val="22"/>
              </w:rPr>
              <w:lastRenderedPageBreak/>
              <w:t>6. Intégration des amendements et ajustement des outils de collectes</w:t>
            </w:r>
          </w:p>
        </w:tc>
        <w:tc>
          <w:tcPr>
            <w:tcW w:w="1429" w:type="dxa"/>
            <w:tcBorders>
              <w:top w:val="nil"/>
              <w:left w:val="nil"/>
              <w:bottom w:val="single" w:sz="4" w:space="0" w:color="auto"/>
              <w:right w:val="single" w:sz="4" w:space="0" w:color="auto"/>
            </w:tcBorders>
            <w:shd w:val="clear" w:color="auto" w:fill="auto"/>
            <w:noWrap/>
            <w:vAlign w:val="bottom"/>
            <w:hideMark/>
          </w:tcPr>
          <w:p w14:paraId="2F1019EA" w14:textId="77777777" w:rsidR="00C3180C" w:rsidRDefault="00C3180C">
            <w:pPr>
              <w:rPr>
                <w:rFonts w:ascii="Arial" w:hAnsi="Arial" w:cs="Arial"/>
                <w:color w:val="000000"/>
                <w:sz w:val="22"/>
                <w:szCs w:val="22"/>
              </w:rPr>
            </w:pPr>
            <w:r>
              <w:rPr>
                <w:rFonts w:ascii="Arial" w:hAnsi="Arial" w:cs="Arial"/>
                <w:color w:val="000000"/>
                <w:sz w:val="22"/>
                <w:szCs w:val="22"/>
              </w:rPr>
              <w:t>D2=D0+ 11 jrs</w:t>
            </w:r>
          </w:p>
        </w:tc>
        <w:tc>
          <w:tcPr>
            <w:tcW w:w="1030" w:type="dxa"/>
            <w:tcBorders>
              <w:top w:val="nil"/>
              <w:left w:val="nil"/>
              <w:bottom w:val="single" w:sz="4" w:space="0" w:color="auto"/>
              <w:right w:val="single" w:sz="4" w:space="0" w:color="auto"/>
            </w:tcBorders>
            <w:shd w:val="clear" w:color="auto" w:fill="auto"/>
            <w:noWrap/>
            <w:vAlign w:val="bottom"/>
            <w:hideMark/>
          </w:tcPr>
          <w:p w14:paraId="17BEF62F" w14:textId="77777777" w:rsidR="00C3180C" w:rsidRDefault="00C3180C">
            <w:pPr>
              <w:jc w:val="right"/>
              <w:rPr>
                <w:rFonts w:ascii="Arial" w:hAnsi="Arial" w:cs="Arial"/>
                <w:color w:val="000000"/>
                <w:sz w:val="22"/>
                <w:szCs w:val="22"/>
              </w:rPr>
            </w:pPr>
            <w:r>
              <w:rPr>
                <w:rFonts w:ascii="Arial" w:hAnsi="Arial" w:cs="Arial"/>
                <w:color w:val="000000"/>
                <w:sz w:val="22"/>
                <w:szCs w:val="22"/>
              </w:rPr>
              <w:t>2</w:t>
            </w:r>
          </w:p>
        </w:tc>
        <w:tc>
          <w:tcPr>
            <w:tcW w:w="1236" w:type="dxa"/>
            <w:tcBorders>
              <w:top w:val="nil"/>
              <w:left w:val="nil"/>
              <w:bottom w:val="single" w:sz="4" w:space="0" w:color="auto"/>
              <w:right w:val="single" w:sz="4" w:space="0" w:color="auto"/>
            </w:tcBorders>
            <w:shd w:val="clear" w:color="auto" w:fill="auto"/>
            <w:noWrap/>
            <w:vAlign w:val="bottom"/>
            <w:hideMark/>
          </w:tcPr>
          <w:p w14:paraId="13F72A31" w14:textId="7A732A09" w:rsidR="00C3180C" w:rsidRDefault="006F1BF9">
            <w:pPr>
              <w:jc w:val="right"/>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/01/2022</w:t>
            </w:r>
          </w:p>
        </w:tc>
      </w:tr>
      <w:tr w:rsidR="00C3180C" w14:paraId="1828FE21"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673058AE" w14:textId="77777777" w:rsidR="00C3180C" w:rsidRDefault="00C3180C">
            <w:pPr>
              <w:rPr>
                <w:rFonts w:ascii="Arial" w:hAnsi="Arial" w:cs="Arial"/>
                <w:color w:val="000000"/>
                <w:sz w:val="22"/>
                <w:szCs w:val="22"/>
              </w:rPr>
            </w:pPr>
            <w:r>
              <w:rPr>
                <w:rFonts w:ascii="Arial" w:hAnsi="Arial" w:cs="Arial"/>
                <w:color w:val="000000"/>
                <w:sz w:val="22"/>
                <w:szCs w:val="22"/>
              </w:rPr>
              <w:t xml:space="preserve">7. Collecte des données et supervision de la collecte </w:t>
            </w:r>
          </w:p>
        </w:tc>
        <w:tc>
          <w:tcPr>
            <w:tcW w:w="1429" w:type="dxa"/>
            <w:tcBorders>
              <w:top w:val="nil"/>
              <w:left w:val="nil"/>
              <w:bottom w:val="single" w:sz="4" w:space="0" w:color="auto"/>
              <w:right w:val="single" w:sz="4" w:space="0" w:color="auto"/>
            </w:tcBorders>
            <w:shd w:val="clear" w:color="auto" w:fill="auto"/>
            <w:noWrap/>
            <w:vAlign w:val="bottom"/>
            <w:hideMark/>
          </w:tcPr>
          <w:p w14:paraId="44C6F742" w14:textId="77777777" w:rsidR="00C3180C" w:rsidRDefault="00C3180C">
            <w:pPr>
              <w:rPr>
                <w:rFonts w:ascii="Arial" w:hAnsi="Arial" w:cs="Arial"/>
                <w:color w:val="000000"/>
                <w:sz w:val="22"/>
                <w:szCs w:val="22"/>
              </w:rPr>
            </w:pPr>
            <w:r>
              <w:rPr>
                <w:rFonts w:ascii="Arial" w:hAnsi="Arial" w:cs="Arial"/>
                <w:color w:val="000000"/>
                <w:sz w:val="22"/>
                <w:szCs w:val="22"/>
              </w:rPr>
              <w:t>D2=D0+ 18 jrs</w:t>
            </w:r>
          </w:p>
        </w:tc>
        <w:tc>
          <w:tcPr>
            <w:tcW w:w="1030" w:type="dxa"/>
            <w:tcBorders>
              <w:top w:val="nil"/>
              <w:left w:val="nil"/>
              <w:bottom w:val="single" w:sz="4" w:space="0" w:color="auto"/>
              <w:right w:val="single" w:sz="4" w:space="0" w:color="auto"/>
            </w:tcBorders>
            <w:shd w:val="clear" w:color="auto" w:fill="auto"/>
            <w:noWrap/>
            <w:vAlign w:val="bottom"/>
            <w:hideMark/>
          </w:tcPr>
          <w:p w14:paraId="200875F8" w14:textId="77777777" w:rsidR="00C3180C" w:rsidRDefault="00C3180C">
            <w:pPr>
              <w:jc w:val="right"/>
              <w:rPr>
                <w:rFonts w:ascii="Arial" w:hAnsi="Arial" w:cs="Arial"/>
                <w:color w:val="000000"/>
                <w:sz w:val="22"/>
                <w:szCs w:val="22"/>
              </w:rPr>
            </w:pPr>
            <w:r>
              <w:rPr>
                <w:rFonts w:ascii="Arial" w:hAnsi="Arial" w:cs="Arial"/>
                <w:color w:val="000000"/>
                <w:sz w:val="22"/>
                <w:szCs w:val="22"/>
              </w:rPr>
              <w:t>7</w:t>
            </w:r>
          </w:p>
        </w:tc>
        <w:tc>
          <w:tcPr>
            <w:tcW w:w="1236" w:type="dxa"/>
            <w:tcBorders>
              <w:top w:val="nil"/>
              <w:left w:val="nil"/>
              <w:bottom w:val="single" w:sz="4" w:space="0" w:color="auto"/>
              <w:right w:val="single" w:sz="4" w:space="0" w:color="auto"/>
            </w:tcBorders>
            <w:shd w:val="clear" w:color="auto" w:fill="auto"/>
            <w:noWrap/>
            <w:vAlign w:val="bottom"/>
            <w:hideMark/>
          </w:tcPr>
          <w:p w14:paraId="7FA28082" w14:textId="4E769CAF" w:rsidR="00C3180C" w:rsidRDefault="00AA4412">
            <w:pPr>
              <w:jc w:val="right"/>
              <w:rPr>
                <w:rFonts w:ascii="Arial" w:hAnsi="Arial" w:cs="Arial"/>
                <w:color w:val="000000"/>
                <w:sz w:val="22"/>
                <w:szCs w:val="22"/>
              </w:rPr>
            </w:pPr>
            <w:r>
              <w:rPr>
                <w:rFonts w:ascii="Arial" w:hAnsi="Arial" w:cs="Arial"/>
                <w:color w:val="000000"/>
                <w:sz w:val="22"/>
                <w:szCs w:val="22"/>
              </w:rPr>
              <w:t>21</w:t>
            </w:r>
            <w:r w:rsidR="006F1BF9">
              <w:rPr>
                <w:rFonts w:ascii="Arial" w:hAnsi="Arial" w:cs="Arial"/>
                <w:color w:val="000000"/>
                <w:sz w:val="22"/>
                <w:szCs w:val="22"/>
              </w:rPr>
              <w:t>/01/2022</w:t>
            </w:r>
          </w:p>
        </w:tc>
      </w:tr>
      <w:tr w:rsidR="00C3180C" w14:paraId="384495A0"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77A9F80D" w14:textId="77777777" w:rsidR="00C3180C" w:rsidRDefault="00C3180C">
            <w:pPr>
              <w:rPr>
                <w:rFonts w:ascii="Arial" w:hAnsi="Arial" w:cs="Arial"/>
                <w:color w:val="000000"/>
                <w:sz w:val="22"/>
                <w:szCs w:val="22"/>
              </w:rPr>
            </w:pPr>
            <w:r>
              <w:rPr>
                <w:rFonts w:ascii="Arial" w:hAnsi="Arial" w:cs="Arial"/>
                <w:color w:val="000000"/>
                <w:sz w:val="22"/>
                <w:szCs w:val="22"/>
              </w:rPr>
              <w:t xml:space="preserve">8. Apurement, analyse et rédaction de rapport préliminaire </w:t>
            </w:r>
          </w:p>
        </w:tc>
        <w:tc>
          <w:tcPr>
            <w:tcW w:w="1429" w:type="dxa"/>
            <w:tcBorders>
              <w:top w:val="nil"/>
              <w:left w:val="nil"/>
              <w:bottom w:val="single" w:sz="4" w:space="0" w:color="auto"/>
              <w:right w:val="single" w:sz="4" w:space="0" w:color="auto"/>
            </w:tcBorders>
            <w:shd w:val="clear" w:color="auto" w:fill="auto"/>
            <w:noWrap/>
            <w:vAlign w:val="bottom"/>
            <w:hideMark/>
          </w:tcPr>
          <w:p w14:paraId="4E9DF02D" w14:textId="77777777" w:rsidR="00C3180C" w:rsidRDefault="00C3180C">
            <w:pPr>
              <w:rPr>
                <w:rFonts w:ascii="Arial" w:hAnsi="Arial" w:cs="Arial"/>
                <w:color w:val="000000"/>
                <w:sz w:val="22"/>
                <w:szCs w:val="22"/>
              </w:rPr>
            </w:pPr>
            <w:r>
              <w:rPr>
                <w:rFonts w:ascii="Arial" w:hAnsi="Arial" w:cs="Arial"/>
                <w:color w:val="000000"/>
                <w:sz w:val="22"/>
                <w:szCs w:val="22"/>
              </w:rPr>
              <w:t>D2=D0+ 25 jrs</w:t>
            </w:r>
          </w:p>
        </w:tc>
        <w:tc>
          <w:tcPr>
            <w:tcW w:w="1030" w:type="dxa"/>
            <w:tcBorders>
              <w:top w:val="nil"/>
              <w:left w:val="nil"/>
              <w:bottom w:val="single" w:sz="4" w:space="0" w:color="auto"/>
              <w:right w:val="single" w:sz="4" w:space="0" w:color="auto"/>
            </w:tcBorders>
            <w:shd w:val="clear" w:color="auto" w:fill="auto"/>
            <w:noWrap/>
            <w:vAlign w:val="bottom"/>
            <w:hideMark/>
          </w:tcPr>
          <w:p w14:paraId="1C13C617" w14:textId="77777777" w:rsidR="00C3180C" w:rsidRDefault="00C3180C">
            <w:pPr>
              <w:jc w:val="right"/>
              <w:rPr>
                <w:rFonts w:ascii="Arial" w:hAnsi="Arial" w:cs="Arial"/>
                <w:color w:val="000000"/>
                <w:sz w:val="22"/>
                <w:szCs w:val="22"/>
              </w:rPr>
            </w:pPr>
            <w:r>
              <w:rPr>
                <w:rFonts w:ascii="Arial" w:hAnsi="Arial" w:cs="Arial"/>
                <w:color w:val="000000"/>
                <w:sz w:val="22"/>
                <w:szCs w:val="22"/>
              </w:rPr>
              <w:t>7</w:t>
            </w:r>
          </w:p>
        </w:tc>
        <w:tc>
          <w:tcPr>
            <w:tcW w:w="1236" w:type="dxa"/>
            <w:tcBorders>
              <w:top w:val="nil"/>
              <w:left w:val="nil"/>
              <w:bottom w:val="single" w:sz="4" w:space="0" w:color="auto"/>
              <w:right w:val="single" w:sz="4" w:space="0" w:color="auto"/>
            </w:tcBorders>
            <w:shd w:val="clear" w:color="auto" w:fill="auto"/>
            <w:noWrap/>
            <w:vAlign w:val="bottom"/>
            <w:hideMark/>
          </w:tcPr>
          <w:p w14:paraId="3DA32EBB" w14:textId="22A1B30F" w:rsidR="00C3180C" w:rsidRDefault="00AA4412">
            <w:pPr>
              <w:jc w:val="right"/>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8</w:t>
            </w:r>
            <w:r>
              <w:rPr>
                <w:rFonts w:ascii="Arial" w:hAnsi="Arial" w:cs="Arial"/>
                <w:color w:val="000000"/>
                <w:sz w:val="22"/>
                <w:szCs w:val="22"/>
              </w:rPr>
              <w:t>/01/2022</w:t>
            </w:r>
          </w:p>
        </w:tc>
      </w:tr>
      <w:tr w:rsidR="00C3180C" w14:paraId="666E7F8D" w14:textId="77777777" w:rsidTr="00C3180C">
        <w:trPr>
          <w:trHeight w:val="333"/>
        </w:trPr>
        <w:tc>
          <w:tcPr>
            <w:tcW w:w="9334" w:type="dxa"/>
            <w:gridSpan w:val="4"/>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A2CDEDC" w14:textId="1F80D717" w:rsidR="00C3180C" w:rsidRDefault="00C3180C">
            <w:pPr>
              <w:jc w:val="center"/>
              <w:rPr>
                <w:rFonts w:ascii="Arial" w:hAnsi="Arial" w:cs="Arial"/>
                <w:b/>
                <w:bCs/>
                <w:color w:val="FF0000"/>
                <w:sz w:val="22"/>
                <w:szCs w:val="22"/>
              </w:rPr>
            </w:pPr>
            <w:r>
              <w:rPr>
                <w:rFonts w:ascii="Arial" w:hAnsi="Arial" w:cs="Arial"/>
                <w:b/>
                <w:bCs/>
                <w:color w:val="FF0000"/>
                <w:sz w:val="22"/>
                <w:szCs w:val="22"/>
              </w:rPr>
              <w:t>A.2.Phase d'</w:t>
            </w:r>
            <w:r w:rsidR="00DD38F3">
              <w:rPr>
                <w:rFonts w:ascii="Arial" w:hAnsi="Arial" w:cs="Arial"/>
                <w:b/>
                <w:bCs/>
                <w:color w:val="FF0000"/>
                <w:sz w:val="22"/>
                <w:szCs w:val="22"/>
              </w:rPr>
              <w:t>établissement</w:t>
            </w:r>
            <w:r>
              <w:rPr>
                <w:rFonts w:ascii="Arial" w:hAnsi="Arial" w:cs="Arial"/>
                <w:b/>
                <w:bCs/>
                <w:color w:val="FF0000"/>
                <w:sz w:val="22"/>
                <w:szCs w:val="22"/>
              </w:rPr>
              <w:t xml:space="preserve"> du rapport</w:t>
            </w:r>
          </w:p>
        </w:tc>
      </w:tr>
      <w:tr w:rsidR="00C3180C" w14:paraId="24A936CE"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38203810" w14:textId="7B0A7644" w:rsidR="00C3180C" w:rsidRDefault="00C3180C">
            <w:pPr>
              <w:rPr>
                <w:rFonts w:ascii="Arial" w:hAnsi="Arial" w:cs="Arial"/>
                <w:color w:val="000000"/>
                <w:sz w:val="22"/>
                <w:szCs w:val="22"/>
              </w:rPr>
            </w:pPr>
            <w:r>
              <w:rPr>
                <w:rFonts w:ascii="Arial" w:hAnsi="Arial" w:cs="Arial"/>
                <w:color w:val="000000"/>
                <w:sz w:val="22"/>
                <w:szCs w:val="22"/>
              </w:rPr>
              <w:t>9. Soumission du rapport provisoire</w:t>
            </w:r>
          </w:p>
        </w:tc>
        <w:tc>
          <w:tcPr>
            <w:tcW w:w="1429" w:type="dxa"/>
            <w:tcBorders>
              <w:top w:val="nil"/>
              <w:left w:val="nil"/>
              <w:bottom w:val="single" w:sz="4" w:space="0" w:color="auto"/>
              <w:right w:val="single" w:sz="4" w:space="0" w:color="auto"/>
            </w:tcBorders>
            <w:shd w:val="clear" w:color="auto" w:fill="auto"/>
            <w:noWrap/>
            <w:vAlign w:val="bottom"/>
            <w:hideMark/>
          </w:tcPr>
          <w:p w14:paraId="4713909C" w14:textId="77777777" w:rsidR="00C3180C" w:rsidRDefault="00C3180C">
            <w:pPr>
              <w:rPr>
                <w:rFonts w:ascii="Arial" w:hAnsi="Arial" w:cs="Arial"/>
                <w:color w:val="000000"/>
                <w:sz w:val="22"/>
                <w:szCs w:val="22"/>
              </w:rPr>
            </w:pPr>
            <w:r>
              <w:rPr>
                <w:rFonts w:ascii="Arial" w:hAnsi="Arial" w:cs="Arial"/>
                <w:color w:val="000000"/>
                <w:sz w:val="22"/>
                <w:szCs w:val="22"/>
              </w:rPr>
              <w:t>D2=D0+ 26 jrs</w:t>
            </w:r>
          </w:p>
        </w:tc>
        <w:tc>
          <w:tcPr>
            <w:tcW w:w="1030" w:type="dxa"/>
            <w:tcBorders>
              <w:top w:val="nil"/>
              <w:left w:val="nil"/>
              <w:bottom w:val="single" w:sz="4" w:space="0" w:color="auto"/>
              <w:right w:val="single" w:sz="4" w:space="0" w:color="auto"/>
            </w:tcBorders>
            <w:shd w:val="clear" w:color="auto" w:fill="auto"/>
            <w:noWrap/>
            <w:vAlign w:val="bottom"/>
            <w:hideMark/>
          </w:tcPr>
          <w:p w14:paraId="549F7F7F" w14:textId="77777777" w:rsidR="00C3180C" w:rsidRDefault="00C3180C">
            <w:pPr>
              <w:jc w:val="right"/>
              <w:rPr>
                <w:rFonts w:ascii="Arial" w:hAnsi="Arial" w:cs="Arial"/>
                <w:color w:val="000000"/>
                <w:sz w:val="22"/>
                <w:szCs w:val="22"/>
              </w:rPr>
            </w:pPr>
            <w:r>
              <w:rPr>
                <w:rFonts w:ascii="Arial" w:hAnsi="Arial" w:cs="Arial"/>
                <w:color w:val="000000"/>
                <w:sz w:val="22"/>
                <w:szCs w:val="22"/>
              </w:rPr>
              <w:t>1</w:t>
            </w:r>
          </w:p>
        </w:tc>
        <w:tc>
          <w:tcPr>
            <w:tcW w:w="1236" w:type="dxa"/>
            <w:tcBorders>
              <w:top w:val="nil"/>
              <w:left w:val="nil"/>
              <w:bottom w:val="single" w:sz="4" w:space="0" w:color="auto"/>
              <w:right w:val="single" w:sz="4" w:space="0" w:color="auto"/>
            </w:tcBorders>
            <w:shd w:val="clear" w:color="auto" w:fill="auto"/>
            <w:noWrap/>
            <w:vAlign w:val="bottom"/>
            <w:hideMark/>
          </w:tcPr>
          <w:p w14:paraId="05EB0847" w14:textId="70754126" w:rsidR="00C3180C" w:rsidRDefault="00AA4412">
            <w:pPr>
              <w:jc w:val="right"/>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9</w:t>
            </w:r>
            <w:r>
              <w:rPr>
                <w:rFonts w:ascii="Arial" w:hAnsi="Arial" w:cs="Arial"/>
                <w:color w:val="000000"/>
                <w:sz w:val="22"/>
                <w:szCs w:val="22"/>
              </w:rPr>
              <w:t>/01/2022</w:t>
            </w:r>
          </w:p>
        </w:tc>
      </w:tr>
      <w:tr w:rsidR="00C3180C" w14:paraId="29478B54"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0AA83A5B" w14:textId="46447D2F" w:rsidR="00C3180C" w:rsidRDefault="00C3180C">
            <w:pPr>
              <w:rPr>
                <w:rFonts w:ascii="Arial" w:hAnsi="Arial" w:cs="Arial"/>
                <w:color w:val="000000"/>
                <w:sz w:val="22"/>
                <w:szCs w:val="22"/>
              </w:rPr>
            </w:pPr>
            <w:r>
              <w:rPr>
                <w:rFonts w:ascii="Arial" w:hAnsi="Arial" w:cs="Arial"/>
                <w:color w:val="000000"/>
                <w:sz w:val="22"/>
                <w:szCs w:val="22"/>
              </w:rPr>
              <w:t xml:space="preserve">10. Amendement du rapport provisoire </w:t>
            </w:r>
          </w:p>
        </w:tc>
        <w:tc>
          <w:tcPr>
            <w:tcW w:w="1429" w:type="dxa"/>
            <w:tcBorders>
              <w:top w:val="nil"/>
              <w:left w:val="nil"/>
              <w:bottom w:val="single" w:sz="4" w:space="0" w:color="auto"/>
              <w:right w:val="single" w:sz="4" w:space="0" w:color="auto"/>
            </w:tcBorders>
            <w:shd w:val="clear" w:color="auto" w:fill="auto"/>
            <w:noWrap/>
            <w:vAlign w:val="bottom"/>
            <w:hideMark/>
          </w:tcPr>
          <w:p w14:paraId="72D36D67" w14:textId="77777777" w:rsidR="00C3180C" w:rsidRDefault="00C3180C">
            <w:pPr>
              <w:rPr>
                <w:rFonts w:ascii="Arial" w:hAnsi="Arial" w:cs="Arial"/>
                <w:color w:val="000000"/>
                <w:sz w:val="22"/>
                <w:szCs w:val="22"/>
              </w:rPr>
            </w:pPr>
            <w:r>
              <w:rPr>
                <w:rFonts w:ascii="Arial" w:hAnsi="Arial" w:cs="Arial"/>
                <w:color w:val="000000"/>
                <w:sz w:val="22"/>
                <w:szCs w:val="22"/>
              </w:rPr>
              <w:t>D2=D0+ 29 jrs</w:t>
            </w:r>
          </w:p>
        </w:tc>
        <w:tc>
          <w:tcPr>
            <w:tcW w:w="1030" w:type="dxa"/>
            <w:tcBorders>
              <w:top w:val="nil"/>
              <w:left w:val="nil"/>
              <w:bottom w:val="single" w:sz="4" w:space="0" w:color="auto"/>
              <w:right w:val="single" w:sz="4" w:space="0" w:color="auto"/>
            </w:tcBorders>
            <w:shd w:val="clear" w:color="auto" w:fill="auto"/>
            <w:noWrap/>
            <w:vAlign w:val="bottom"/>
            <w:hideMark/>
          </w:tcPr>
          <w:p w14:paraId="3418F909" w14:textId="77777777" w:rsidR="00C3180C" w:rsidRDefault="00C3180C">
            <w:pPr>
              <w:jc w:val="right"/>
              <w:rPr>
                <w:rFonts w:ascii="Arial" w:hAnsi="Arial" w:cs="Arial"/>
                <w:color w:val="000000"/>
                <w:sz w:val="22"/>
                <w:szCs w:val="22"/>
              </w:rPr>
            </w:pPr>
            <w:r>
              <w:rPr>
                <w:rFonts w:ascii="Arial" w:hAnsi="Arial" w:cs="Arial"/>
                <w:color w:val="000000"/>
                <w:sz w:val="22"/>
                <w:szCs w:val="22"/>
              </w:rPr>
              <w:t>3</w:t>
            </w:r>
          </w:p>
        </w:tc>
        <w:tc>
          <w:tcPr>
            <w:tcW w:w="1236" w:type="dxa"/>
            <w:tcBorders>
              <w:top w:val="nil"/>
              <w:left w:val="nil"/>
              <w:bottom w:val="single" w:sz="4" w:space="0" w:color="auto"/>
              <w:right w:val="single" w:sz="4" w:space="0" w:color="auto"/>
            </w:tcBorders>
            <w:shd w:val="clear" w:color="auto" w:fill="auto"/>
            <w:noWrap/>
            <w:vAlign w:val="bottom"/>
            <w:hideMark/>
          </w:tcPr>
          <w:p w14:paraId="3D16A869" w14:textId="16492361" w:rsidR="00C3180C" w:rsidRDefault="00AA4412">
            <w:pPr>
              <w:jc w:val="right"/>
              <w:rPr>
                <w:rFonts w:ascii="Arial" w:hAnsi="Arial" w:cs="Arial"/>
                <w:color w:val="000000"/>
                <w:sz w:val="22"/>
                <w:szCs w:val="22"/>
              </w:rPr>
            </w:pPr>
            <w:r>
              <w:rPr>
                <w:rFonts w:ascii="Arial" w:hAnsi="Arial" w:cs="Arial"/>
                <w:color w:val="000000"/>
                <w:sz w:val="22"/>
                <w:szCs w:val="22"/>
              </w:rPr>
              <w:t>01</w:t>
            </w:r>
            <w:r>
              <w:rPr>
                <w:rFonts w:ascii="Arial" w:hAnsi="Arial" w:cs="Arial"/>
                <w:color w:val="000000"/>
                <w:sz w:val="22"/>
                <w:szCs w:val="22"/>
              </w:rPr>
              <w:t>/0</w:t>
            </w:r>
            <w:r>
              <w:rPr>
                <w:rFonts w:ascii="Arial" w:hAnsi="Arial" w:cs="Arial"/>
                <w:color w:val="000000"/>
                <w:sz w:val="22"/>
                <w:szCs w:val="22"/>
              </w:rPr>
              <w:t>2</w:t>
            </w:r>
            <w:r>
              <w:rPr>
                <w:rFonts w:ascii="Arial" w:hAnsi="Arial" w:cs="Arial"/>
                <w:color w:val="000000"/>
                <w:sz w:val="22"/>
                <w:szCs w:val="22"/>
              </w:rPr>
              <w:t>/2022</w:t>
            </w:r>
          </w:p>
        </w:tc>
      </w:tr>
      <w:tr w:rsidR="00C3180C" w14:paraId="1E7F339A"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38B8DE6C" w14:textId="77777777" w:rsidR="00C3180C" w:rsidRDefault="00C3180C">
            <w:pPr>
              <w:rPr>
                <w:rFonts w:ascii="Arial" w:hAnsi="Arial" w:cs="Arial"/>
                <w:color w:val="000000"/>
                <w:sz w:val="22"/>
                <w:szCs w:val="22"/>
              </w:rPr>
            </w:pPr>
            <w:r>
              <w:rPr>
                <w:rFonts w:ascii="Arial" w:hAnsi="Arial" w:cs="Arial"/>
                <w:color w:val="000000"/>
                <w:sz w:val="22"/>
                <w:szCs w:val="22"/>
              </w:rPr>
              <w:t xml:space="preserve">11. Intégration des amendement </w:t>
            </w:r>
          </w:p>
        </w:tc>
        <w:tc>
          <w:tcPr>
            <w:tcW w:w="1429" w:type="dxa"/>
            <w:tcBorders>
              <w:top w:val="nil"/>
              <w:left w:val="nil"/>
              <w:bottom w:val="single" w:sz="4" w:space="0" w:color="auto"/>
              <w:right w:val="single" w:sz="4" w:space="0" w:color="auto"/>
            </w:tcBorders>
            <w:shd w:val="clear" w:color="auto" w:fill="auto"/>
            <w:noWrap/>
            <w:vAlign w:val="bottom"/>
            <w:hideMark/>
          </w:tcPr>
          <w:p w14:paraId="2739A4F6" w14:textId="77777777" w:rsidR="00C3180C" w:rsidRDefault="00C3180C">
            <w:pPr>
              <w:rPr>
                <w:rFonts w:ascii="Arial" w:hAnsi="Arial" w:cs="Arial"/>
                <w:color w:val="000000"/>
                <w:sz w:val="22"/>
                <w:szCs w:val="22"/>
              </w:rPr>
            </w:pPr>
            <w:r>
              <w:rPr>
                <w:rFonts w:ascii="Arial" w:hAnsi="Arial" w:cs="Arial"/>
                <w:color w:val="000000"/>
                <w:sz w:val="22"/>
                <w:szCs w:val="22"/>
              </w:rPr>
              <w:t>D2=D0+ 33 jrs</w:t>
            </w:r>
          </w:p>
        </w:tc>
        <w:tc>
          <w:tcPr>
            <w:tcW w:w="1030" w:type="dxa"/>
            <w:tcBorders>
              <w:top w:val="nil"/>
              <w:left w:val="nil"/>
              <w:bottom w:val="single" w:sz="4" w:space="0" w:color="auto"/>
              <w:right w:val="single" w:sz="4" w:space="0" w:color="auto"/>
            </w:tcBorders>
            <w:shd w:val="clear" w:color="auto" w:fill="auto"/>
            <w:noWrap/>
            <w:vAlign w:val="bottom"/>
            <w:hideMark/>
          </w:tcPr>
          <w:p w14:paraId="697A2F08" w14:textId="77777777" w:rsidR="00C3180C" w:rsidRDefault="00C3180C">
            <w:pPr>
              <w:jc w:val="right"/>
              <w:rPr>
                <w:rFonts w:ascii="Arial" w:hAnsi="Arial" w:cs="Arial"/>
                <w:color w:val="000000"/>
                <w:sz w:val="22"/>
                <w:szCs w:val="22"/>
              </w:rPr>
            </w:pPr>
            <w:r>
              <w:rPr>
                <w:rFonts w:ascii="Arial" w:hAnsi="Arial" w:cs="Arial"/>
                <w:color w:val="000000"/>
                <w:sz w:val="22"/>
                <w:szCs w:val="22"/>
              </w:rPr>
              <w:t>4</w:t>
            </w:r>
          </w:p>
        </w:tc>
        <w:tc>
          <w:tcPr>
            <w:tcW w:w="1236" w:type="dxa"/>
            <w:tcBorders>
              <w:top w:val="nil"/>
              <w:left w:val="nil"/>
              <w:bottom w:val="single" w:sz="4" w:space="0" w:color="auto"/>
              <w:right w:val="single" w:sz="4" w:space="0" w:color="auto"/>
            </w:tcBorders>
            <w:shd w:val="clear" w:color="auto" w:fill="auto"/>
            <w:noWrap/>
            <w:vAlign w:val="bottom"/>
            <w:hideMark/>
          </w:tcPr>
          <w:p w14:paraId="0F6B328E" w14:textId="2727E124" w:rsidR="00C3180C" w:rsidRDefault="00AA4412">
            <w:pPr>
              <w:jc w:val="right"/>
              <w:rPr>
                <w:rFonts w:ascii="Arial" w:hAnsi="Arial" w:cs="Arial"/>
                <w:color w:val="000000"/>
                <w:sz w:val="22"/>
                <w:szCs w:val="22"/>
              </w:rPr>
            </w:pPr>
            <w:r>
              <w:rPr>
                <w:rFonts w:ascii="Arial" w:hAnsi="Arial" w:cs="Arial"/>
                <w:color w:val="000000"/>
                <w:sz w:val="22"/>
                <w:szCs w:val="22"/>
              </w:rPr>
              <w:t>0</w:t>
            </w:r>
            <w:r>
              <w:rPr>
                <w:rFonts w:ascii="Arial" w:hAnsi="Arial" w:cs="Arial"/>
                <w:color w:val="000000"/>
                <w:sz w:val="22"/>
                <w:szCs w:val="22"/>
              </w:rPr>
              <w:t>5</w:t>
            </w:r>
            <w:r>
              <w:rPr>
                <w:rFonts w:ascii="Arial" w:hAnsi="Arial" w:cs="Arial"/>
                <w:color w:val="000000"/>
                <w:sz w:val="22"/>
                <w:szCs w:val="22"/>
              </w:rPr>
              <w:t>/02/2022</w:t>
            </w:r>
          </w:p>
        </w:tc>
      </w:tr>
      <w:tr w:rsidR="00C3180C" w14:paraId="16A7B8AB"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10EB4F66" w14:textId="77777777" w:rsidR="00C3180C" w:rsidRDefault="00C3180C">
            <w:pPr>
              <w:rPr>
                <w:rFonts w:ascii="Arial" w:hAnsi="Arial" w:cs="Arial"/>
                <w:color w:val="000000"/>
                <w:sz w:val="22"/>
                <w:szCs w:val="22"/>
              </w:rPr>
            </w:pPr>
            <w:r>
              <w:rPr>
                <w:rFonts w:ascii="Arial" w:hAnsi="Arial" w:cs="Arial"/>
                <w:color w:val="000000"/>
                <w:sz w:val="22"/>
                <w:szCs w:val="22"/>
              </w:rPr>
              <w:t>12. Soumission du rapport final</w:t>
            </w:r>
          </w:p>
        </w:tc>
        <w:tc>
          <w:tcPr>
            <w:tcW w:w="1429" w:type="dxa"/>
            <w:tcBorders>
              <w:top w:val="nil"/>
              <w:left w:val="nil"/>
              <w:bottom w:val="single" w:sz="4" w:space="0" w:color="auto"/>
              <w:right w:val="single" w:sz="4" w:space="0" w:color="auto"/>
            </w:tcBorders>
            <w:shd w:val="clear" w:color="auto" w:fill="auto"/>
            <w:noWrap/>
            <w:vAlign w:val="bottom"/>
            <w:hideMark/>
          </w:tcPr>
          <w:p w14:paraId="2E51B53A" w14:textId="77777777" w:rsidR="00C3180C" w:rsidRDefault="00C3180C">
            <w:pPr>
              <w:rPr>
                <w:rFonts w:ascii="Arial" w:hAnsi="Arial" w:cs="Arial"/>
                <w:color w:val="000000"/>
                <w:sz w:val="22"/>
                <w:szCs w:val="22"/>
              </w:rPr>
            </w:pPr>
            <w:r>
              <w:rPr>
                <w:rFonts w:ascii="Arial" w:hAnsi="Arial" w:cs="Arial"/>
                <w:color w:val="000000"/>
                <w:sz w:val="22"/>
                <w:szCs w:val="22"/>
              </w:rPr>
              <w:t>D2=D0+ 34 jrs</w:t>
            </w:r>
          </w:p>
        </w:tc>
        <w:tc>
          <w:tcPr>
            <w:tcW w:w="1030" w:type="dxa"/>
            <w:tcBorders>
              <w:top w:val="nil"/>
              <w:left w:val="nil"/>
              <w:bottom w:val="single" w:sz="4" w:space="0" w:color="auto"/>
              <w:right w:val="single" w:sz="4" w:space="0" w:color="auto"/>
            </w:tcBorders>
            <w:shd w:val="clear" w:color="auto" w:fill="auto"/>
            <w:noWrap/>
            <w:vAlign w:val="bottom"/>
            <w:hideMark/>
          </w:tcPr>
          <w:p w14:paraId="0FA23C41" w14:textId="77777777" w:rsidR="00C3180C" w:rsidRDefault="00C3180C">
            <w:pPr>
              <w:jc w:val="right"/>
              <w:rPr>
                <w:rFonts w:ascii="Arial" w:hAnsi="Arial" w:cs="Arial"/>
                <w:color w:val="000000"/>
                <w:sz w:val="22"/>
                <w:szCs w:val="22"/>
              </w:rPr>
            </w:pPr>
            <w:r>
              <w:rPr>
                <w:rFonts w:ascii="Arial" w:hAnsi="Arial" w:cs="Arial"/>
                <w:color w:val="000000"/>
                <w:sz w:val="22"/>
                <w:szCs w:val="22"/>
              </w:rPr>
              <w:t>1</w:t>
            </w:r>
          </w:p>
        </w:tc>
        <w:tc>
          <w:tcPr>
            <w:tcW w:w="1236" w:type="dxa"/>
            <w:tcBorders>
              <w:top w:val="nil"/>
              <w:left w:val="nil"/>
              <w:bottom w:val="single" w:sz="4" w:space="0" w:color="auto"/>
              <w:right w:val="single" w:sz="4" w:space="0" w:color="auto"/>
            </w:tcBorders>
            <w:shd w:val="clear" w:color="auto" w:fill="auto"/>
            <w:noWrap/>
            <w:vAlign w:val="bottom"/>
            <w:hideMark/>
          </w:tcPr>
          <w:p w14:paraId="5DEE3658" w14:textId="401C3A40" w:rsidR="00C3180C" w:rsidRDefault="00AA4412">
            <w:pPr>
              <w:jc w:val="right"/>
              <w:rPr>
                <w:rFonts w:ascii="Arial" w:hAnsi="Arial" w:cs="Arial"/>
                <w:color w:val="000000"/>
                <w:sz w:val="22"/>
                <w:szCs w:val="22"/>
              </w:rPr>
            </w:pPr>
            <w:r>
              <w:rPr>
                <w:rFonts w:ascii="Arial" w:hAnsi="Arial" w:cs="Arial"/>
                <w:color w:val="000000"/>
                <w:sz w:val="22"/>
                <w:szCs w:val="22"/>
              </w:rPr>
              <w:t>0</w:t>
            </w:r>
            <w:r>
              <w:rPr>
                <w:rFonts w:ascii="Arial" w:hAnsi="Arial" w:cs="Arial"/>
                <w:color w:val="000000"/>
                <w:sz w:val="22"/>
                <w:szCs w:val="22"/>
              </w:rPr>
              <w:t>6</w:t>
            </w:r>
            <w:r>
              <w:rPr>
                <w:rFonts w:ascii="Arial" w:hAnsi="Arial" w:cs="Arial"/>
                <w:color w:val="000000"/>
                <w:sz w:val="22"/>
                <w:szCs w:val="22"/>
              </w:rPr>
              <w:t>/02/2022</w:t>
            </w:r>
          </w:p>
        </w:tc>
      </w:tr>
      <w:tr w:rsidR="00C3180C" w14:paraId="35612197"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3B6444C6" w14:textId="49EB7671" w:rsidR="00C3180C" w:rsidRDefault="00C3180C">
            <w:pPr>
              <w:rPr>
                <w:rFonts w:ascii="Arial" w:hAnsi="Arial" w:cs="Arial"/>
                <w:color w:val="000000"/>
                <w:sz w:val="22"/>
                <w:szCs w:val="22"/>
              </w:rPr>
            </w:pPr>
            <w:r>
              <w:rPr>
                <w:rFonts w:ascii="Arial" w:hAnsi="Arial" w:cs="Arial"/>
                <w:color w:val="000000"/>
                <w:sz w:val="22"/>
                <w:szCs w:val="22"/>
              </w:rPr>
              <w:t>Total de la mission</w:t>
            </w:r>
          </w:p>
        </w:tc>
        <w:tc>
          <w:tcPr>
            <w:tcW w:w="1429" w:type="dxa"/>
            <w:tcBorders>
              <w:top w:val="nil"/>
              <w:left w:val="nil"/>
              <w:bottom w:val="single" w:sz="4" w:space="0" w:color="auto"/>
              <w:right w:val="single" w:sz="4" w:space="0" w:color="auto"/>
            </w:tcBorders>
            <w:shd w:val="clear" w:color="auto" w:fill="auto"/>
            <w:noWrap/>
            <w:vAlign w:val="bottom"/>
            <w:hideMark/>
          </w:tcPr>
          <w:p w14:paraId="10AF32CE" w14:textId="77777777" w:rsidR="00C3180C" w:rsidRDefault="00C3180C">
            <w:pPr>
              <w:rPr>
                <w:rFonts w:ascii="Arial" w:hAnsi="Arial" w:cs="Arial"/>
                <w:color w:val="000000"/>
                <w:sz w:val="22"/>
                <w:szCs w:val="22"/>
              </w:rPr>
            </w:pPr>
            <w:r>
              <w:rPr>
                <w:rFonts w:ascii="Arial" w:hAnsi="Arial" w:cs="Arial"/>
                <w:color w:val="000000"/>
                <w:sz w:val="22"/>
                <w:szCs w:val="22"/>
              </w:rPr>
              <w:t> </w:t>
            </w:r>
          </w:p>
        </w:tc>
        <w:tc>
          <w:tcPr>
            <w:tcW w:w="1030" w:type="dxa"/>
            <w:tcBorders>
              <w:top w:val="nil"/>
              <w:left w:val="nil"/>
              <w:bottom w:val="single" w:sz="4" w:space="0" w:color="auto"/>
              <w:right w:val="single" w:sz="4" w:space="0" w:color="auto"/>
            </w:tcBorders>
            <w:shd w:val="clear" w:color="auto" w:fill="auto"/>
            <w:noWrap/>
            <w:vAlign w:val="bottom"/>
            <w:hideMark/>
          </w:tcPr>
          <w:p w14:paraId="2C3CB844" w14:textId="77777777" w:rsidR="00C3180C" w:rsidRDefault="00C3180C">
            <w:pPr>
              <w:jc w:val="right"/>
              <w:rPr>
                <w:rFonts w:ascii="Arial" w:hAnsi="Arial" w:cs="Arial"/>
                <w:color w:val="000000"/>
                <w:sz w:val="22"/>
                <w:szCs w:val="22"/>
              </w:rPr>
            </w:pPr>
            <w:r>
              <w:rPr>
                <w:rFonts w:ascii="Arial" w:hAnsi="Arial" w:cs="Arial"/>
                <w:color w:val="000000"/>
                <w:sz w:val="22"/>
                <w:szCs w:val="22"/>
              </w:rPr>
              <w:t>34</w:t>
            </w:r>
          </w:p>
        </w:tc>
        <w:tc>
          <w:tcPr>
            <w:tcW w:w="1236" w:type="dxa"/>
            <w:tcBorders>
              <w:top w:val="nil"/>
              <w:left w:val="nil"/>
              <w:bottom w:val="single" w:sz="4" w:space="0" w:color="auto"/>
              <w:right w:val="single" w:sz="4" w:space="0" w:color="auto"/>
            </w:tcBorders>
            <w:shd w:val="clear" w:color="auto" w:fill="auto"/>
            <w:noWrap/>
            <w:vAlign w:val="bottom"/>
            <w:hideMark/>
          </w:tcPr>
          <w:p w14:paraId="3075E1B8" w14:textId="77777777" w:rsidR="00C3180C" w:rsidRDefault="00C3180C">
            <w:pPr>
              <w:rPr>
                <w:rFonts w:ascii="Arial" w:hAnsi="Arial" w:cs="Arial"/>
                <w:color w:val="000000"/>
                <w:sz w:val="22"/>
                <w:szCs w:val="22"/>
              </w:rPr>
            </w:pPr>
            <w:r>
              <w:rPr>
                <w:rFonts w:ascii="Arial" w:hAnsi="Arial" w:cs="Arial"/>
                <w:color w:val="000000"/>
                <w:sz w:val="22"/>
                <w:szCs w:val="22"/>
              </w:rPr>
              <w:t> </w:t>
            </w:r>
          </w:p>
        </w:tc>
      </w:tr>
      <w:tr w:rsidR="00C3180C" w14:paraId="5BB9D632" w14:textId="77777777" w:rsidTr="00C3180C">
        <w:trPr>
          <w:trHeight w:val="333"/>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6A527E36" w14:textId="77777777" w:rsidR="00C3180C" w:rsidRDefault="00C3180C">
            <w:pPr>
              <w:rPr>
                <w:rFonts w:ascii="Arial" w:hAnsi="Arial" w:cs="Arial"/>
                <w:color w:val="000000"/>
                <w:sz w:val="22"/>
                <w:szCs w:val="22"/>
              </w:rPr>
            </w:pPr>
            <w:r>
              <w:rPr>
                <w:rFonts w:ascii="Arial" w:hAnsi="Arial" w:cs="Arial"/>
                <w:color w:val="000000"/>
                <w:sz w:val="22"/>
                <w:szCs w:val="22"/>
              </w:rPr>
              <w:t>Total consultation</w:t>
            </w:r>
          </w:p>
        </w:tc>
        <w:tc>
          <w:tcPr>
            <w:tcW w:w="1429" w:type="dxa"/>
            <w:tcBorders>
              <w:top w:val="nil"/>
              <w:left w:val="nil"/>
              <w:bottom w:val="single" w:sz="4" w:space="0" w:color="auto"/>
              <w:right w:val="single" w:sz="4" w:space="0" w:color="auto"/>
            </w:tcBorders>
            <w:shd w:val="clear" w:color="auto" w:fill="auto"/>
            <w:noWrap/>
            <w:vAlign w:val="bottom"/>
            <w:hideMark/>
          </w:tcPr>
          <w:p w14:paraId="79C0CE15" w14:textId="77777777" w:rsidR="00C3180C" w:rsidRDefault="00C3180C">
            <w:pPr>
              <w:rPr>
                <w:rFonts w:ascii="Calibri" w:hAnsi="Calibri" w:cs="Calibri"/>
                <w:color w:val="000000"/>
                <w:sz w:val="22"/>
                <w:szCs w:val="22"/>
              </w:rPr>
            </w:pPr>
            <w:r>
              <w:rPr>
                <w:rFonts w:ascii="Calibri" w:hAnsi="Calibri" w:cs="Calibri"/>
                <w:color w:val="000000"/>
                <w:sz w:val="22"/>
                <w:szCs w:val="22"/>
              </w:rPr>
              <w:t> </w:t>
            </w:r>
          </w:p>
        </w:tc>
        <w:tc>
          <w:tcPr>
            <w:tcW w:w="1030" w:type="dxa"/>
            <w:tcBorders>
              <w:top w:val="nil"/>
              <w:left w:val="nil"/>
              <w:bottom w:val="single" w:sz="4" w:space="0" w:color="auto"/>
              <w:right w:val="single" w:sz="4" w:space="0" w:color="auto"/>
            </w:tcBorders>
            <w:shd w:val="clear" w:color="auto" w:fill="auto"/>
            <w:noWrap/>
            <w:vAlign w:val="bottom"/>
            <w:hideMark/>
          </w:tcPr>
          <w:p w14:paraId="74AEEE1E" w14:textId="77777777" w:rsidR="00C3180C" w:rsidRDefault="00C3180C">
            <w:pPr>
              <w:jc w:val="right"/>
              <w:rPr>
                <w:rFonts w:ascii="Arial" w:hAnsi="Arial" w:cs="Arial"/>
                <w:color w:val="000000"/>
                <w:sz w:val="22"/>
                <w:szCs w:val="22"/>
              </w:rPr>
            </w:pPr>
            <w:r>
              <w:rPr>
                <w:rFonts w:ascii="Arial" w:hAnsi="Arial" w:cs="Arial"/>
                <w:color w:val="000000"/>
                <w:sz w:val="22"/>
                <w:szCs w:val="22"/>
              </w:rPr>
              <w:t>22</w:t>
            </w:r>
          </w:p>
        </w:tc>
        <w:tc>
          <w:tcPr>
            <w:tcW w:w="1236" w:type="dxa"/>
            <w:tcBorders>
              <w:top w:val="nil"/>
              <w:left w:val="nil"/>
              <w:bottom w:val="single" w:sz="4" w:space="0" w:color="auto"/>
              <w:right w:val="single" w:sz="4" w:space="0" w:color="auto"/>
            </w:tcBorders>
            <w:shd w:val="clear" w:color="auto" w:fill="auto"/>
            <w:noWrap/>
            <w:vAlign w:val="bottom"/>
            <w:hideMark/>
          </w:tcPr>
          <w:p w14:paraId="75F1E3B7" w14:textId="77777777" w:rsidR="00C3180C" w:rsidRDefault="00C3180C">
            <w:pPr>
              <w:rPr>
                <w:rFonts w:ascii="Calibri" w:hAnsi="Calibri" w:cs="Calibri"/>
                <w:color w:val="000000"/>
                <w:sz w:val="22"/>
                <w:szCs w:val="22"/>
              </w:rPr>
            </w:pPr>
            <w:r>
              <w:rPr>
                <w:rFonts w:ascii="Calibri" w:hAnsi="Calibri" w:cs="Calibri"/>
                <w:color w:val="000000"/>
                <w:sz w:val="22"/>
                <w:szCs w:val="22"/>
              </w:rPr>
              <w:t> </w:t>
            </w:r>
          </w:p>
        </w:tc>
      </w:tr>
    </w:tbl>
    <w:p w14:paraId="178FBBE6" w14:textId="00282D84" w:rsidR="00D13110" w:rsidRDefault="00D13110" w:rsidP="00D13110"/>
    <w:p w14:paraId="240470BB" w14:textId="0FE75CEF" w:rsidR="00D13110" w:rsidRPr="0038514C" w:rsidRDefault="00D13110" w:rsidP="00D13110">
      <w:pPr>
        <w:pStyle w:val="Heading2"/>
      </w:pPr>
      <w:r w:rsidRPr="0038514C">
        <w:t>Rapport d</w:t>
      </w:r>
      <w:r w:rsidR="00C5598E">
        <w:t>e Baseli</w:t>
      </w:r>
      <w:r w:rsidRPr="0038514C">
        <w:t>n</w:t>
      </w:r>
      <w:r w:rsidR="00C5598E">
        <w:t>e</w:t>
      </w:r>
    </w:p>
    <w:p w14:paraId="596580DC" w14:textId="1FA3B788" w:rsidR="00D13110" w:rsidRPr="00D13110" w:rsidRDefault="00D13110" w:rsidP="00D13110">
      <w:pPr>
        <w:tabs>
          <w:tab w:val="left" w:pos="825"/>
        </w:tabs>
        <w:spacing w:line="100" w:lineRule="atLeast"/>
        <w:jc w:val="both"/>
        <w:rPr>
          <w:rFonts w:ascii="Lato Medium" w:hAnsi="Lato Medium" w:cs="Calibri"/>
          <w:bCs/>
          <w:iCs/>
          <w:lang w:val="fr-CA"/>
        </w:rPr>
      </w:pPr>
      <w:r w:rsidRPr="00D13110">
        <w:rPr>
          <w:rFonts w:ascii="Lato Medium" w:hAnsi="Lato Medium" w:cs="Calibri"/>
          <w:bCs/>
          <w:iCs/>
          <w:lang w:val="fr-CA"/>
        </w:rPr>
        <w:t>Le rapport d</w:t>
      </w:r>
      <w:r w:rsidR="00C5598E">
        <w:rPr>
          <w:rFonts w:ascii="Lato Medium" w:hAnsi="Lato Medium" w:cs="Calibri"/>
          <w:bCs/>
          <w:iCs/>
          <w:lang w:val="fr-CA"/>
        </w:rPr>
        <w:t>e Baseline</w:t>
      </w:r>
      <w:r w:rsidRPr="00D13110">
        <w:rPr>
          <w:rFonts w:ascii="Lato Medium" w:hAnsi="Lato Medium" w:cs="Calibri"/>
          <w:bCs/>
          <w:iCs/>
          <w:lang w:val="fr-CA"/>
        </w:rPr>
        <w:t xml:space="preserve"> doit respecter le format suivant et être écrit en Français :</w:t>
      </w:r>
    </w:p>
    <w:p w14:paraId="260D6A57" w14:textId="77777777" w:rsidR="00D13110" w:rsidRPr="00D13110" w:rsidRDefault="00D13110" w:rsidP="00D13110">
      <w:pPr>
        <w:numPr>
          <w:ilvl w:val="0"/>
          <w:numId w:val="16"/>
        </w:numPr>
        <w:suppressAutoHyphens/>
        <w:spacing w:line="100" w:lineRule="atLeast"/>
        <w:ind w:left="714" w:hanging="357"/>
        <w:jc w:val="both"/>
        <w:rPr>
          <w:rFonts w:ascii="Lato Medium" w:hAnsi="Lato Medium"/>
          <w:b/>
          <w:lang w:val="fr-CA"/>
        </w:rPr>
      </w:pPr>
      <w:r w:rsidRPr="00D13110">
        <w:rPr>
          <w:rFonts w:ascii="Lato Medium" w:hAnsi="Lato Medium"/>
          <w:b/>
          <w:lang w:val="fr-CA"/>
        </w:rPr>
        <w:t xml:space="preserve">Page de couverture </w:t>
      </w:r>
      <w:r w:rsidRPr="00D13110">
        <w:rPr>
          <w:rFonts w:ascii="Lato Medium" w:hAnsi="Lato Medium"/>
          <w:lang w:val="fr-CA"/>
        </w:rPr>
        <w:t>;</w:t>
      </w:r>
    </w:p>
    <w:p w14:paraId="6BB54D17" w14:textId="77777777" w:rsidR="00D13110" w:rsidRPr="00D13110" w:rsidRDefault="00D13110" w:rsidP="00D13110">
      <w:pPr>
        <w:numPr>
          <w:ilvl w:val="0"/>
          <w:numId w:val="16"/>
        </w:numPr>
        <w:suppressAutoHyphens/>
        <w:spacing w:line="100" w:lineRule="atLeast"/>
        <w:ind w:left="714" w:hanging="357"/>
        <w:jc w:val="both"/>
        <w:rPr>
          <w:rFonts w:ascii="Lato Medium" w:hAnsi="Lato Medium"/>
          <w:b/>
          <w:lang w:val="fr-CA"/>
        </w:rPr>
      </w:pPr>
      <w:r w:rsidRPr="00D13110">
        <w:rPr>
          <w:rFonts w:ascii="Lato Medium" w:hAnsi="Lato Medium"/>
          <w:b/>
          <w:lang w:val="fr-CA"/>
        </w:rPr>
        <w:t>Tableau récapitulatif</w:t>
      </w:r>
      <w:r w:rsidRPr="00D13110">
        <w:rPr>
          <w:rFonts w:ascii="Lato Medium" w:hAnsi="Lato Medium"/>
          <w:lang w:val="fr-CA"/>
        </w:rPr>
        <w:t xml:space="preserve"> selon le modèle fourni ;</w:t>
      </w:r>
    </w:p>
    <w:p w14:paraId="255B621E" w14:textId="77777777" w:rsidR="00D13110" w:rsidRPr="00D13110" w:rsidRDefault="00D13110" w:rsidP="00D13110">
      <w:pPr>
        <w:numPr>
          <w:ilvl w:val="0"/>
          <w:numId w:val="16"/>
        </w:numPr>
        <w:suppressAutoHyphens/>
        <w:spacing w:line="100" w:lineRule="atLeast"/>
        <w:ind w:left="714" w:hanging="357"/>
        <w:jc w:val="both"/>
        <w:rPr>
          <w:rFonts w:ascii="Lato Medium" w:hAnsi="Lato Medium"/>
          <w:b/>
          <w:lang w:val="fr-CA"/>
        </w:rPr>
      </w:pPr>
      <w:r w:rsidRPr="00D13110">
        <w:rPr>
          <w:rFonts w:ascii="Lato Medium" w:hAnsi="Lato Medium"/>
          <w:b/>
          <w:lang w:val="fr-CA"/>
        </w:rPr>
        <w:t xml:space="preserve">Table des matières </w:t>
      </w:r>
      <w:r w:rsidRPr="00D13110">
        <w:rPr>
          <w:rFonts w:ascii="Lato Medium" w:hAnsi="Lato Medium"/>
          <w:lang w:val="fr-CA"/>
        </w:rPr>
        <w:t>;</w:t>
      </w:r>
    </w:p>
    <w:p w14:paraId="3DCFEEFE" w14:textId="77777777" w:rsidR="00D13110" w:rsidRPr="00D13110" w:rsidRDefault="00D13110" w:rsidP="00D13110">
      <w:pPr>
        <w:numPr>
          <w:ilvl w:val="0"/>
          <w:numId w:val="16"/>
        </w:numPr>
        <w:suppressAutoHyphens/>
        <w:spacing w:line="100" w:lineRule="atLeast"/>
        <w:ind w:left="714" w:hanging="357"/>
        <w:jc w:val="both"/>
        <w:rPr>
          <w:rFonts w:ascii="Lato Medium" w:hAnsi="Lato Medium"/>
          <w:b/>
          <w:lang w:val="fr-CA"/>
        </w:rPr>
      </w:pPr>
      <w:r w:rsidRPr="00D13110">
        <w:rPr>
          <w:rFonts w:ascii="Lato Medium" w:hAnsi="Lato Medium"/>
          <w:b/>
          <w:lang w:val="fr-CA"/>
        </w:rPr>
        <w:t>Liste d’acronymes ;</w:t>
      </w:r>
    </w:p>
    <w:p w14:paraId="6D1054CC" w14:textId="6F3E57B4" w:rsidR="00D13110" w:rsidRPr="00D13110" w:rsidRDefault="00D13110" w:rsidP="00D13110">
      <w:pPr>
        <w:numPr>
          <w:ilvl w:val="0"/>
          <w:numId w:val="16"/>
        </w:numPr>
        <w:suppressAutoHyphens/>
        <w:spacing w:line="100" w:lineRule="atLeast"/>
        <w:ind w:left="714" w:hanging="357"/>
        <w:jc w:val="both"/>
        <w:rPr>
          <w:rFonts w:ascii="Lato Medium" w:hAnsi="Lato Medium"/>
          <w:b/>
          <w:lang w:val="fr-CA"/>
        </w:rPr>
      </w:pPr>
      <w:r w:rsidRPr="00D13110">
        <w:rPr>
          <w:rFonts w:ascii="Lato Medium" w:hAnsi="Lato Medium"/>
          <w:b/>
          <w:lang w:val="fr-CA"/>
        </w:rPr>
        <w:t>Résumé exécutif</w:t>
      </w:r>
      <w:r w:rsidRPr="00D13110">
        <w:rPr>
          <w:rFonts w:ascii="Lato Medium" w:hAnsi="Lato Medium"/>
          <w:lang w:val="fr-CA"/>
        </w:rPr>
        <w:t xml:space="preserve"> doit être un résumé indépendant, décrivant le projet, les constatations principales de l'é</w:t>
      </w:r>
      <w:r w:rsidR="00632755">
        <w:rPr>
          <w:rFonts w:ascii="Lato Medium" w:hAnsi="Lato Medium"/>
          <w:lang w:val="fr-CA"/>
        </w:rPr>
        <w:t>tude</w:t>
      </w:r>
      <w:r w:rsidRPr="00D13110">
        <w:rPr>
          <w:rFonts w:ascii="Lato Medium" w:hAnsi="Lato Medium"/>
          <w:lang w:val="fr-CA"/>
        </w:rPr>
        <w:t>, la conclusion générale. Celui-ci ne devra pas s'étendre sur plus de 2 pages ;</w:t>
      </w:r>
    </w:p>
    <w:p w14:paraId="2691FDBD" w14:textId="21EF2633" w:rsidR="00D13110" w:rsidRPr="00D82FEC" w:rsidRDefault="00D13110" w:rsidP="00D13110">
      <w:pPr>
        <w:numPr>
          <w:ilvl w:val="0"/>
          <w:numId w:val="16"/>
        </w:numPr>
        <w:suppressAutoHyphens/>
        <w:spacing w:line="100" w:lineRule="atLeast"/>
        <w:ind w:left="714" w:hanging="357"/>
        <w:jc w:val="both"/>
        <w:rPr>
          <w:rFonts w:ascii="Lato Medium" w:hAnsi="Lato Medium"/>
          <w:b/>
          <w:color w:val="000000" w:themeColor="text1"/>
          <w:lang w:val="fr-CA"/>
        </w:rPr>
      </w:pPr>
      <w:r w:rsidRPr="00D82FEC">
        <w:rPr>
          <w:rFonts w:ascii="Lato Medium" w:hAnsi="Lato Medium"/>
          <w:b/>
          <w:color w:val="000000" w:themeColor="text1"/>
          <w:lang w:val="fr-CA"/>
        </w:rPr>
        <w:t>Méthodologie</w:t>
      </w:r>
      <w:r w:rsidRPr="00D82FEC">
        <w:rPr>
          <w:rFonts w:ascii="Lato Medium" w:hAnsi="Lato Medium"/>
          <w:color w:val="000000" w:themeColor="text1"/>
          <w:lang w:val="fr-CA"/>
        </w:rPr>
        <w:t xml:space="preserve"> doit être bien élaborée et bien édifi</w:t>
      </w:r>
      <w:r w:rsidR="00C5598E" w:rsidRPr="00D82FEC">
        <w:rPr>
          <w:rFonts w:ascii="Lato Medium" w:hAnsi="Lato Medium"/>
          <w:color w:val="000000" w:themeColor="text1"/>
          <w:lang w:val="fr-CA"/>
        </w:rPr>
        <w:t>é</w:t>
      </w:r>
      <w:r w:rsidRPr="00D82FEC">
        <w:rPr>
          <w:rFonts w:ascii="Lato Medium" w:hAnsi="Lato Medium"/>
          <w:color w:val="000000" w:themeColor="text1"/>
          <w:lang w:val="fr-CA"/>
        </w:rPr>
        <w:t xml:space="preserve"> sur la méthode utilisée, fournir des preuves de triangulation des données </w:t>
      </w:r>
      <w:r w:rsidR="00F87156" w:rsidRPr="00D82FEC">
        <w:rPr>
          <w:rFonts w:ascii="Lato Medium" w:hAnsi="Lato Medium"/>
          <w:color w:val="000000" w:themeColor="text1"/>
          <w:lang w:val="fr-CA"/>
        </w:rPr>
        <w:t xml:space="preserve">dans la mesure du possible </w:t>
      </w:r>
      <w:r w:rsidRPr="00D82FEC">
        <w:rPr>
          <w:rFonts w:ascii="Lato Medium" w:hAnsi="Lato Medium"/>
          <w:color w:val="000000" w:themeColor="text1"/>
          <w:lang w:val="fr-CA"/>
        </w:rPr>
        <w:t>et présenter les limites de cette méthodologie ;</w:t>
      </w:r>
    </w:p>
    <w:p w14:paraId="49BFF73A" w14:textId="77777777" w:rsidR="00D13110" w:rsidRPr="00D82FEC" w:rsidRDefault="00D13110" w:rsidP="00D13110">
      <w:pPr>
        <w:numPr>
          <w:ilvl w:val="0"/>
          <w:numId w:val="16"/>
        </w:numPr>
        <w:spacing w:line="276" w:lineRule="auto"/>
        <w:rPr>
          <w:rFonts w:ascii="Lato Medium" w:hAnsi="Lato Medium"/>
          <w:bCs/>
          <w:color w:val="000000" w:themeColor="text1"/>
          <w:lang w:val="fr-CA"/>
        </w:rPr>
      </w:pPr>
      <w:r w:rsidRPr="00D82FEC">
        <w:rPr>
          <w:rFonts w:ascii="Lato Medium" w:hAnsi="Lato Medium"/>
          <w:b/>
          <w:color w:val="000000" w:themeColor="text1"/>
          <w:lang w:val="fr-CA"/>
        </w:rPr>
        <w:t xml:space="preserve">Informations générales ; </w:t>
      </w:r>
      <w:r w:rsidRPr="00D82FEC">
        <w:rPr>
          <w:rFonts w:ascii="Lato Medium" w:hAnsi="Lato Medium"/>
          <w:bCs/>
          <w:color w:val="000000" w:themeColor="text1"/>
          <w:lang w:val="fr-CA"/>
        </w:rPr>
        <w:t>Résultats, Constats, Analyses &amp; Discussions</w:t>
      </w:r>
    </w:p>
    <w:p w14:paraId="647C556B" w14:textId="6E7B0B35" w:rsidR="00D13110" w:rsidRPr="00D82FEC" w:rsidRDefault="00D13110" w:rsidP="00D13110">
      <w:pPr>
        <w:numPr>
          <w:ilvl w:val="0"/>
          <w:numId w:val="16"/>
        </w:numPr>
        <w:suppressAutoHyphens/>
        <w:spacing w:line="100" w:lineRule="atLeast"/>
        <w:jc w:val="both"/>
        <w:rPr>
          <w:rFonts w:ascii="Lato Medium" w:hAnsi="Lato Medium"/>
          <w:b/>
          <w:color w:val="000000" w:themeColor="text1"/>
          <w:lang w:val="fr-CA"/>
        </w:rPr>
      </w:pPr>
      <w:r w:rsidRPr="00D82FEC">
        <w:rPr>
          <w:rFonts w:ascii="Lato Medium" w:hAnsi="Lato Medium"/>
          <w:b/>
          <w:color w:val="000000" w:themeColor="text1"/>
          <w:lang w:val="fr-CA"/>
        </w:rPr>
        <w:t xml:space="preserve">Conclusions </w:t>
      </w:r>
      <w:r w:rsidRPr="00D82FEC">
        <w:rPr>
          <w:rFonts w:ascii="Lato Medium" w:hAnsi="Lato Medium"/>
          <w:color w:val="000000" w:themeColor="text1"/>
          <w:lang w:val="fr-CA"/>
        </w:rPr>
        <w:t xml:space="preserve">les conclusions sont formulées en synthétisant les principales constatations </w:t>
      </w:r>
      <w:r w:rsidR="00C5598E" w:rsidRPr="00D82FEC">
        <w:rPr>
          <w:rFonts w:ascii="Lato Medium" w:hAnsi="Lato Medium"/>
          <w:color w:val="000000" w:themeColor="text1"/>
          <w:lang w:val="fr-CA"/>
        </w:rPr>
        <w:t>e</w:t>
      </w:r>
      <w:r w:rsidRPr="00D82FEC">
        <w:rPr>
          <w:rFonts w:ascii="Lato Medium" w:hAnsi="Lato Medium"/>
          <w:color w:val="000000" w:themeColor="text1"/>
          <w:lang w:val="fr-CA"/>
        </w:rPr>
        <w:t xml:space="preserve">n cohérence avec les </w:t>
      </w:r>
      <w:r w:rsidR="00F87156" w:rsidRPr="00D82FEC">
        <w:rPr>
          <w:rFonts w:ascii="Lato Medium" w:hAnsi="Lato Medium"/>
          <w:color w:val="000000" w:themeColor="text1"/>
          <w:lang w:val="fr-CA"/>
        </w:rPr>
        <w:t>résultats d’analyses</w:t>
      </w:r>
      <w:r w:rsidRPr="00D82FEC">
        <w:rPr>
          <w:rFonts w:ascii="Lato Medium" w:hAnsi="Lato Medium"/>
          <w:color w:val="000000" w:themeColor="text1"/>
          <w:lang w:val="fr-CA"/>
        </w:rPr>
        <w:t>;</w:t>
      </w:r>
    </w:p>
    <w:p w14:paraId="10E5D28D" w14:textId="78BDC1DA" w:rsidR="00D13110" w:rsidRPr="00D82FEC" w:rsidRDefault="00D13110" w:rsidP="00D13110">
      <w:pPr>
        <w:numPr>
          <w:ilvl w:val="0"/>
          <w:numId w:val="16"/>
        </w:numPr>
        <w:suppressAutoHyphens/>
        <w:spacing w:line="100" w:lineRule="atLeast"/>
        <w:ind w:left="714" w:hanging="357"/>
        <w:jc w:val="both"/>
        <w:rPr>
          <w:rFonts w:ascii="Lato Medium" w:hAnsi="Lato Medium"/>
          <w:b/>
          <w:color w:val="000000" w:themeColor="text1"/>
          <w:lang w:val="fr-CA"/>
        </w:rPr>
      </w:pPr>
      <w:r w:rsidRPr="00D82FEC">
        <w:rPr>
          <w:rFonts w:ascii="Lato Medium" w:hAnsi="Lato Medium"/>
          <w:b/>
          <w:color w:val="000000" w:themeColor="text1"/>
          <w:lang w:val="fr-CA"/>
        </w:rPr>
        <w:t xml:space="preserve">Recommandations, </w:t>
      </w:r>
      <w:r w:rsidRPr="00D82FEC">
        <w:rPr>
          <w:rFonts w:ascii="Lato Medium" w:hAnsi="Lato Medium"/>
          <w:color w:val="000000" w:themeColor="text1"/>
          <w:lang w:val="fr-CA"/>
        </w:rPr>
        <w:t>Les recommandations doivent être aussi réalistes</w:t>
      </w:r>
      <w:r w:rsidR="00C5598E" w:rsidRPr="00D82FEC">
        <w:rPr>
          <w:rFonts w:ascii="Lato Medium" w:hAnsi="Lato Medium"/>
          <w:color w:val="000000" w:themeColor="text1"/>
          <w:lang w:val="fr-CA"/>
        </w:rPr>
        <w:t xml:space="preserve"> et réalisable se basant essentiellement sur les différentes constations issues de l’analyse des données</w:t>
      </w:r>
      <w:r w:rsidRPr="00D82FEC">
        <w:rPr>
          <w:rFonts w:ascii="Lato Medium" w:hAnsi="Lato Medium"/>
          <w:color w:val="000000" w:themeColor="text1"/>
          <w:lang w:val="fr-CA"/>
        </w:rPr>
        <w:t>;</w:t>
      </w:r>
    </w:p>
    <w:p w14:paraId="5BCB152E" w14:textId="3F7E0BE2" w:rsidR="00D13110" w:rsidRPr="00D13110" w:rsidRDefault="00D13110" w:rsidP="00D13110">
      <w:pPr>
        <w:numPr>
          <w:ilvl w:val="0"/>
          <w:numId w:val="16"/>
        </w:numPr>
        <w:suppressAutoHyphens/>
        <w:spacing w:line="100" w:lineRule="atLeast"/>
        <w:ind w:left="714" w:hanging="357"/>
        <w:jc w:val="both"/>
        <w:rPr>
          <w:rFonts w:ascii="Lato Medium" w:hAnsi="Lato Medium"/>
          <w:lang w:val="fr-CA"/>
        </w:rPr>
      </w:pPr>
      <w:r w:rsidRPr="00D13110">
        <w:rPr>
          <w:rFonts w:ascii="Lato Medium" w:hAnsi="Lato Medium"/>
          <w:b/>
          <w:lang w:val="fr-CA"/>
        </w:rPr>
        <w:t xml:space="preserve">Annexes </w:t>
      </w:r>
      <w:r w:rsidRPr="00D13110">
        <w:rPr>
          <w:rFonts w:ascii="Lato Medium" w:hAnsi="Lato Medium"/>
          <w:lang w:val="fr-CA"/>
        </w:rPr>
        <w:t>Ces dernières doivent être listées, numérotées et inclure les éléments suivants :</w:t>
      </w:r>
      <w:r w:rsidR="00632755">
        <w:rPr>
          <w:rFonts w:ascii="Lato Medium" w:hAnsi="Lato Medium"/>
          <w:lang w:val="fr-CA"/>
        </w:rPr>
        <w:t xml:space="preserve"> </w:t>
      </w:r>
      <w:r w:rsidR="00F87156">
        <w:rPr>
          <w:rFonts w:ascii="Lato Medium" w:hAnsi="Lato Medium"/>
          <w:lang w:val="fr-CA"/>
        </w:rPr>
        <w:t>L</w:t>
      </w:r>
      <w:r w:rsidR="00632755">
        <w:rPr>
          <w:rFonts w:ascii="Lato Medium" w:hAnsi="Lato Medium"/>
          <w:lang w:val="fr-CA"/>
        </w:rPr>
        <w:t xml:space="preserve">es outils de collectes </w:t>
      </w:r>
      <w:r w:rsidRPr="00D13110">
        <w:rPr>
          <w:rFonts w:ascii="Lato Medium" w:hAnsi="Lato Medium"/>
          <w:lang w:val="fr-CA"/>
        </w:rPr>
        <w:t xml:space="preserve">des données, les TDRs de </w:t>
      </w:r>
      <w:r w:rsidR="00C5598E">
        <w:rPr>
          <w:rFonts w:ascii="Lato Medium" w:hAnsi="Lato Medium"/>
          <w:lang w:val="fr-CA"/>
        </w:rPr>
        <w:t>la Baseline</w:t>
      </w:r>
      <w:r w:rsidRPr="00D13110">
        <w:rPr>
          <w:rFonts w:ascii="Lato Medium" w:hAnsi="Lato Medium"/>
          <w:lang w:val="fr-CA"/>
        </w:rPr>
        <w:t>, des photos.</w:t>
      </w:r>
    </w:p>
    <w:p w14:paraId="18F87B20" w14:textId="77777777" w:rsidR="00D13110" w:rsidRPr="0038514C" w:rsidRDefault="00D13110" w:rsidP="00D13110">
      <w:pPr>
        <w:suppressAutoHyphens/>
        <w:spacing w:line="100" w:lineRule="atLeast"/>
        <w:jc w:val="both"/>
        <w:rPr>
          <w:lang w:val="fr-CA"/>
        </w:rPr>
      </w:pPr>
    </w:p>
    <w:p w14:paraId="0F98464E" w14:textId="04795D06" w:rsidR="00D13110" w:rsidRPr="00D13110" w:rsidRDefault="00D13110" w:rsidP="00D13110">
      <w:pPr>
        <w:spacing w:line="100" w:lineRule="atLeast"/>
        <w:jc w:val="both"/>
        <w:rPr>
          <w:rFonts w:ascii="Lato Medium" w:hAnsi="Lato Medium" w:cs="Arial"/>
          <w:color w:val="000000"/>
        </w:rPr>
      </w:pPr>
      <w:r w:rsidRPr="00D13110">
        <w:rPr>
          <w:rFonts w:ascii="Lato Medium" w:hAnsi="Lato Medium" w:cs="Arial"/>
          <w:color w:val="000000"/>
        </w:rPr>
        <w:t xml:space="preserve">Le rapport provisoire doit être envoyé dans les </w:t>
      </w:r>
      <w:r w:rsidR="00632755">
        <w:rPr>
          <w:rFonts w:ascii="Lato Medium" w:hAnsi="Lato Medium" w:cs="Arial"/>
          <w:color w:val="000000"/>
        </w:rPr>
        <w:t>7</w:t>
      </w:r>
      <w:r w:rsidRPr="00D13110">
        <w:rPr>
          <w:rFonts w:ascii="Lato Medium" w:hAnsi="Lato Medium" w:cs="Arial"/>
          <w:color w:val="000000"/>
        </w:rPr>
        <w:t xml:space="preserve"> jours calendaires après avoir quitté le terrain. Le rapport final doit être envoyé avant la date de fin du contrat d</w:t>
      </w:r>
      <w:r w:rsidR="00190705">
        <w:rPr>
          <w:rFonts w:ascii="Lato Medium" w:hAnsi="Lato Medium" w:cs="Arial"/>
          <w:color w:val="000000"/>
        </w:rPr>
        <w:t>e la Baseline</w:t>
      </w:r>
      <w:r w:rsidRPr="00D13110">
        <w:rPr>
          <w:rFonts w:ascii="Lato Medium" w:hAnsi="Lato Medium" w:cs="Arial"/>
          <w:color w:val="000000"/>
        </w:rPr>
        <w:t>. Les annexes au rapport sont acceptées dans la langue de travail d</w:t>
      </w:r>
      <w:r w:rsidR="00632755">
        <w:rPr>
          <w:rFonts w:ascii="Lato Medium" w:hAnsi="Lato Medium" w:cs="Arial"/>
          <w:color w:val="000000"/>
        </w:rPr>
        <w:t>es</w:t>
      </w:r>
      <w:r w:rsidRPr="00D13110">
        <w:rPr>
          <w:rFonts w:ascii="Lato Medium" w:hAnsi="Lato Medium" w:cs="Arial"/>
          <w:color w:val="000000"/>
        </w:rPr>
        <w:t xml:space="preserve"> pays et du programme/projet/mission faisant l'objet de l</w:t>
      </w:r>
      <w:r w:rsidR="00190705">
        <w:rPr>
          <w:rFonts w:ascii="Lato Medium" w:hAnsi="Lato Medium" w:cs="Arial"/>
          <w:color w:val="000000"/>
        </w:rPr>
        <w:t>’étude</w:t>
      </w:r>
      <w:r w:rsidRPr="00D13110">
        <w:rPr>
          <w:rFonts w:ascii="Lato Medium" w:hAnsi="Lato Medium" w:cs="Arial"/>
          <w:color w:val="000000"/>
        </w:rPr>
        <w:t xml:space="preserve">. </w:t>
      </w:r>
    </w:p>
    <w:p w14:paraId="32BA7BD6" w14:textId="77777777" w:rsidR="00D13110" w:rsidRPr="00D13110" w:rsidRDefault="00D13110" w:rsidP="00D13110"/>
    <w:p w14:paraId="57443AC7" w14:textId="3A14E66A" w:rsidR="00E23368" w:rsidRDefault="00E23368" w:rsidP="00775E2D">
      <w:pPr>
        <w:pStyle w:val="Heading1"/>
      </w:pPr>
      <w:r w:rsidRPr="00E23368">
        <w:lastRenderedPageBreak/>
        <w:t>Livrables</w:t>
      </w:r>
    </w:p>
    <w:p w14:paraId="3559CF61" w14:textId="0ED8EB35" w:rsidR="00E23368" w:rsidRPr="00775E2D" w:rsidRDefault="00A36542" w:rsidP="00775E2D">
      <w:pPr>
        <w:pStyle w:val="ListParagraph"/>
        <w:numPr>
          <w:ilvl w:val="0"/>
          <w:numId w:val="4"/>
        </w:numPr>
        <w:pBdr>
          <w:top w:val="nil"/>
          <w:left w:val="nil"/>
          <w:bottom w:val="nil"/>
          <w:right w:val="nil"/>
          <w:between w:val="nil"/>
        </w:pBdr>
        <w:spacing w:after="200"/>
        <w:jc w:val="both"/>
        <w:rPr>
          <w:rFonts w:ascii="Lato Medium" w:hAnsi="Lato Medium" w:cs="Arial"/>
          <w:color w:val="000000"/>
        </w:rPr>
      </w:pPr>
      <w:r w:rsidRPr="00775E2D">
        <w:rPr>
          <w:rFonts w:ascii="Lato Medium" w:hAnsi="Lato Medium" w:cs="Arial"/>
          <w:color w:val="000000"/>
        </w:rPr>
        <w:t xml:space="preserve">Une note méthodologique détaillant l’approche et les outils utilisés ; </w:t>
      </w:r>
    </w:p>
    <w:p w14:paraId="32C40C59" w14:textId="7505B351" w:rsidR="008D2BB9" w:rsidRPr="00775E2D" w:rsidRDefault="008D2BB9" w:rsidP="00775E2D">
      <w:pPr>
        <w:pStyle w:val="ListParagraph"/>
        <w:numPr>
          <w:ilvl w:val="0"/>
          <w:numId w:val="4"/>
        </w:numPr>
        <w:pBdr>
          <w:top w:val="nil"/>
          <w:left w:val="nil"/>
          <w:bottom w:val="nil"/>
          <w:right w:val="nil"/>
          <w:between w:val="nil"/>
        </w:pBdr>
        <w:spacing w:after="200"/>
        <w:jc w:val="both"/>
        <w:rPr>
          <w:rFonts w:ascii="Lato Medium" w:hAnsi="Lato Medium" w:cs="Arial"/>
          <w:color w:val="000000"/>
        </w:rPr>
      </w:pPr>
      <w:r w:rsidRPr="00775E2D">
        <w:rPr>
          <w:rFonts w:ascii="Lato Medium" w:hAnsi="Lato Medium" w:cs="Arial"/>
          <w:color w:val="000000"/>
        </w:rPr>
        <w:t xml:space="preserve">Les outils de collectes des données ; </w:t>
      </w:r>
    </w:p>
    <w:p w14:paraId="7BFBB005" w14:textId="0A793103" w:rsidR="00A36542" w:rsidRDefault="00A36542" w:rsidP="00775E2D">
      <w:pPr>
        <w:pStyle w:val="ListParagraph"/>
        <w:numPr>
          <w:ilvl w:val="0"/>
          <w:numId w:val="4"/>
        </w:numPr>
        <w:pBdr>
          <w:top w:val="nil"/>
          <w:left w:val="nil"/>
          <w:bottom w:val="nil"/>
          <w:right w:val="nil"/>
          <w:between w:val="nil"/>
        </w:pBdr>
        <w:spacing w:after="200"/>
        <w:jc w:val="both"/>
        <w:rPr>
          <w:rFonts w:ascii="Lato Medium" w:hAnsi="Lato Medium" w:cs="Arial"/>
          <w:color w:val="000000"/>
        </w:rPr>
      </w:pPr>
      <w:r w:rsidRPr="00775E2D">
        <w:rPr>
          <w:rFonts w:ascii="Lato Medium" w:hAnsi="Lato Medium" w:cs="Arial"/>
          <w:color w:val="000000"/>
        </w:rPr>
        <w:t xml:space="preserve">Une base de données apurées ; </w:t>
      </w:r>
    </w:p>
    <w:p w14:paraId="5B12FE0E" w14:textId="73DD26B7" w:rsidR="00EF76DC" w:rsidRPr="00EF76DC" w:rsidRDefault="00EF76DC" w:rsidP="00EF76DC">
      <w:pPr>
        <w:pStyle w:val="ListParagraph"/>
        <w:numPr>
          <w:ilvl w:val="0"/>
          <w:numId w:val="4"/>
        </w:numPr>
        <w:pBdr>
          <w:top w:val="nil"/>
          <w:left w:val="nil"/>
          <w:bottom w:val="nil"/>
          <w:right w:val="nil"/>
          <w:between w:val="nil"/>
        </w:pBdr>
        <w:spacing w:after="200"/>
        <w:jc w:val="both"/>
        <w:rPr>
          <w:rFonts w:ascii="Lato Medium" w:hAnsi="Lato Medium" w:cs="Arial"/>
          <w:color w:val="000000"/>
        </w:rPr>
      </w:pPr>
      <w:r>
        <w:rPr>
          <w:rFonts w:ascii="Lato Medium" w:hAnsi="Lato Medium" w:cs="Arial"/>
          <w:color w:val="000000"/>
        </w:rPr>
        <w:t>La liste des indicateurs et les valeurs de bases ;</w:t>
      </w:r>
    </w:p>
    <w:p w14:paraId="07BEDFB7" w14:textId="0623404E" w:rsidR="00A36542" w:rsidRDefault="00A36542" w:rsidP="00775E2D">
      <w:pPr>
        <w:pStyle w:val="ListParagraph"/>
        <w:numPr>
          <w:ilvl w:val="0"/>
          <w:numId w:val="4"/>
        </w:numPr>
        <w:pBdr>
          <w:top w:val="nil"/>
          <w:left w:val="nil"/>
          <w:bottom w:val="nil"/>
          <w:right w:val="nil"/>
          <w:between w:val="nil"/>
        </w:pBdr>
        <w:spacing w:after="200"/>
        <w:jc w:val="both"/>
        <w:rPr>
          <w:rFonts w:ascii="Lato Medium" w:hAnsi="Lato Medium" w:cs="Arial"/>
          <w:color w:val="000000"/>
        </w:rPr>
      </w:pPr>
      <w:r w:rsidRPr="00775E2D">
        <w:rPr>
          <w:rFonts w:ascii="Lato Medium" w:hAnsi="Lato Medium" w:cs="Arial"/>
          <w:color w:val="000000"/>
        </w:rPr>
        <w:t>Un rapport final qui sera validé après au maximum de deux sessions de commentaire</w:t>
      </w:r>
      <w:r w:rsidR="008D2BB9" w:rsidRPr="00775E2D">
        <w:rPr>
          <w:rFonts w:ascii="Lato Medium" w:hAnsi="Lato Medium" w:cs="Arial"/>
          <w:color w:val="000000"/>
        </w:rPr>
        <w:t xml:space="preserve">. </w:t>
      </w:r>
    </w:p>
    <w:p w14:paraId="1166B3B3" w14:textId="0F9D97C3" w:rsidR="00EF76DC" w:rsidRDefault="00EF76DC" w:rsidP="00EF76DC">
      <w:pPr>
        <w:pStyle w:val="Heading1"/>
      </w:pPr>
      <w:r>
        <w:t>Modalités de gestion et plan de travail</w:t>
      </w:r>
    </w:p>
    <w:p w14:paraId="2BD3D9AD" w14:textId="2023F29A" w:rsidR="00EF76DC" w:rsidRDefault="00EF76DC" w:rsidP="00EF76DC">
      <w:pPr>
        <w:jc w:val="both"/>
        <w:rPr>
          <w:rFonts w:ascii="Lato Medium" w:hAnsi="Lato Medium" w:cs="Arial"/>
          <w:color w:val="000000"/>
        </w:rPr>
      </w:pPr>
      <w:r w:rsidRPr="00EF76DC">
        <w:rPr>
          <w:rFonts w:ascii="Lato Medium" w:hAnsi="Lato Medium" w:cs="Arial"/>
          <w:color w:val="000000"/>
        </w:rPr>
        <w:t>L</w:t>
      </w:r>
      <w:r w:rsidR="00F87156">
        <w:rPr>
          <w:rFonts w:ascii="Lato Medium" w:hAnsi="Lato Medium" w:cs="Arial"/>
          <w:color w:val="000000"/>
        </w:rPr>
        <w:t xml:space="preserve">e/la consultant/te </w:t>
      </w:r>
      <w:r w:rsidRPr="00EF76DC">
        <w:rPr>
          <w:rFonts w:ascii="Lato Medium" w:hAnsi="Lato Medium" w:cs="Arial"/>
          <w:color w:val="000000"/>
        </w:rPr>
        <w:t xml:space="preserve">sera en contact direct avec Action contre la Faim -ROWCA/UDC PROGRESS.  </w:t>
      </w:r>
      <w:r w:rsidR="00F87156" w:rsidRPr="00EF76DC">
        <w:rPr>
          <w:rFonts w:ascii="Lato Medium" w:hAnsi="Lato Medium" w:cs="Arial"/>
          <w:color w:val="000000"/>
        </w:rPr>
        <w:t>L</w:t>
      </w:r>
      <w:r w:rsidR="00F87156">
        <w:rPr>
          <w:rFonts w:ascii="Lato Medium" w:hAnsi="Lato Medium" w:cs="Arial"/>
          <w:color w:val="000000"/>
        </w:rPr>
        <w:t xml:space="preserve">e/la consultant/te </w:t>
      </w:r>
      <w:r w:rsidRPr="00EF76DC">
        <w:rPr>
          <w:rFonts w:ascii="Lato Medium" w:hAnsi="Lato Medium" w:cs="Arial"/>
          <w:color w:val="000000"/>
        </w:rPr>
        <w:t>enverra tous les produits de l</w:t>
      </w:r>
      <w:r w:rsidR="00190705">
        <w:rPr>
          <w:rFonts w:ascii="Lato Medium" w:hAnsi="Lato Medium" w:cs="Arial"/>
          <w:color w:val="000000"/>
        </w:rPr>
        <w:t>a Baseline</w:t>
      </w:r>
      <w:r w:rsidRPr="00EF76DC">
        <w:rPr>
          <w:rFonts w:ascii="Lato Medium" w:hAnsi="Lato Medium" w:cs="Arial"/>
          <w:color w:val="000000"/>
        </w:rPr>
        <w:t xml:space="preserve"> directement et uniquement à Action contre la Faim - ROWCA/UDC PROGRESS. Action contre la Faim - ROWCA/UDC PROGRESS fera un contrôle de qualité (s'assurant que les éléments nécessaires sont présents) et décidera si le rapport est prêt à être partagé. Action contre la Faim - ROWCA/UDC PROGRESS transmettra une copie aux parties prenantes clés afin que celles-ci puissent commenter des données factuelles et fournir des clarifications. Action contre la Faim - ROWCA/UDC PROGRESS fera la synthèse de ces commentaires et les enverra </w:t>
      </w:r>
      <w:r w:rsidR="00F87156">
        <w:rPr>
          <w:rFonts w:ascii="Lato Medium" w:hAnsi="Lato Medium" w:cs="Arial"/>
          <w:color w:val="000000"/>
        </w:rPr>
        <w:t>au/ à la</w:t>
      </w:r>
      <w:r w:rsidRPr="00EF76DC">
        <w:rPr>
          <w:rFonts w:ascii="Lato Medium" w:hAnsi="Lato Medium" w:cs="Arial"/>
          <w:color w:val="000000"/>
        </w:rPr>
        <w:t xml:space="preserve"> </w:t>
      </w:r>
      <w:r w:rsidR="00F87156">
        <w:rPr>
          <w:rFonts w:ascii="Lato Medium" w:hAnsi="Lato Medium" w:cs="Arial"/>
          <w:color w:val="000000"/>
        </w:rPr>
        <w:t xml:space="preserve">consultant/te </w:t>
      </w:r>
      <w:r w:rsidRPr="00EF76DC">
        <w:rPr>
          <w:rFonts w:ascii="Lato Medium" w:hAnsi="Lato Medium" w:cs="Arial"/>
          <w:color w:val="000000"/>
        </w:rPr>
        <w:t xml:space="preserve">à la date convenue avec celui/celle-ci ou dès que tous les commentaires seront reçus de la part des parties prenantes. </w:t>
      </w:r>
      <w:r w:rsidR="00F87156" w:rsidRPr="00EF76DC">
        <w:rPr>
          <w:rFonts w:ascii="Lato Medium" w:hAnsi="Lato Medium" w:cs="Arial"/>
          <w:color w:val="000000"/>
        </w:rPr>
        <w:t>L</w:t>
      </w:r>
      <w:r w:rsidR="00F87156">
        <w:rPr>
          <w:rFonts w:ascii="Lato Medium" w:hAnsi="Lato Medium" w:cs="Arial"/>
          <w:color w:val="000000"/>
        </w:rPr>
        <w:t>e/la consultant/te</w:t>
      </w:r>
      <w:r w:rsidRPr="00EF76DC">
        <w:rPr>
          <w:rFonts w:ascii="Lato Medium" w:hAnsi="Lato Medium" w:cs="Arial"/>
          <w:color w:val="000000"/>
        </w:rPr>
        <w:t xml:space="preserve"> prendra en compte les commentaires afin de finaliser le rapport et enverra celui-ci à Action contre la Faim - ROWCA/UDC PROGRESS, qui le transmettra alors officiellement aux parties prenantes concernées.</w:t>
      </w:r>
    </w:p>
    <w:p w14:paraId="11945EA1" w14:textId="7B612516" w:rsidR="00EF76DC" w:rsidRPr="0038514C" w:rsidRDefault="00EF76DC" w:rsidP="00EF76DC">
      <w:pPr>
        <w:pStyle w:val="Heading2"/>
      </w:pPr>
      <w:r w:rsidRPr="0038514C">
        <w:t>R</w:t>
      </w:r>
      <w:r>
        <w:t>esponsabilités détaillées du consultant</w:t>
      </w:r>
    </w:p>
    <w:p w14:paraId="03FEFE2A" w14:textId="77777777" w:rsidR="00EF76DC" w:rsidRPr="0038514C" w:rsidRDefault="00EF76DC" w:rsidP="00EF76DC">
      <w:pPr>
        <w:ind w:left="1080"/>
        <w:rPr>
          <w:lang w:val="fr-CA"/>
        </w:rPr>
      </w:pPr>
    </w:p>
    <w:p w14:paraId="294254B0" w14:textId="143F5E10" w:rsidR="00EF76DC" w:rsidRPr="0086479B" w:rsidRDefault="00EF76DC" w:rsidP="00C24AB2">
      <w:pPr>
        <w:numPr>
          <w:ilvl w:val="0"/>
          <w:numId w:val="17"/>
        </w:numPr>
        <w:jc w:val="both"/>
        <w:rPr>
          <w:rFonts w:ascii="Lato Medium" w:hAnsi="Lato Medium"/>
          <w:lang w:val="fr-CA"/>
        </w:rPr>
      </w:pPr>
      <w:r w:rsidRPr="0086479B">
        <w:rPr>
          <w:rFonts w:ascii="Lato Medium" w:hAnsi="Lato Medium"/>
          <w:lang w:val="fr-CA"/>
        </w:rPr>
        <w:t xml:space="preserve">Élaborer une stratégie d’échantillonnage en conformité avec la méthodologie de collecte de données, en vérifiant la qualité des données et en utilisant des techniques d’analyse </w:t>
      </w:r>
      <w:r w:rsidR="0086479B" w:rsidRPr="0086479B">
        <w:rPr>
          <w:rFonts w:ascii="Lato Medium" w:hAnsi="Lato Medium"/>
          <w:lang w:val="fr-CA"/>
        </w:rPr>
        <w:t>qualitative</w:t>
      </w:r>
      <w:r w:rsidR="00632755">
        <w:rPr>
          <w:rFonts w:ascii="Lato Medium" w:hAnsi="Lato Medium"/>
          <w:lang w:val="fr-CA"/>
        </w:rPr>
        <w:t xml:space="preserve"> et quantitative</w:t>
      </w:r>
      <w:r w:rsidR="0086479B" w:rsidRPr="0086479B">
        <w:rPr>
          <w:rFonts w:ascii="Lato Medium" w:hAnsi="Lato Medium"/>
          <w:lang w:val="fr-CA"/>
        </w:rPr>
        <w:t xml:space="preserve"> avec l’appui de l’équipe de l’UDC PROGRESS</w:t>
      </w:r>
      <w:r w:rsidRPr="0086479B">
        <w:rPr>
          <w:rFonts w:ascii="Lato Medium" w:hAnsi="Lato Medium"/>
          <w:lang w:val="fr-CA"/>
        </w:rPr>
        <w:t>;</w:t>
      </w:r>
    </w:p>
    <w:p w14:paraId="70B7A0C7" w14:textId="6A1DFDB3" w:rsidR="00EF76DC" w:rsidRPr="0086479B" w:rsidRDefault="00EF76DC" w:rsidP="00C24AB2">
      <w:pPr>
        <w:numPr>
          <w:ilvl w:val="0"/>
          <w:numId w:val="17"/>
        </w:numPr>
        <w:jc w:val="both"/>
        <w:rPr>
          <w:rFonts w:ascii="Lato Medium" w:hAnsi="Lato Medium"/>
          <w:lang w:val="fr-CA"/>
        </w:rPr>
      </w:pPr>
      <w:r w:rsidRPr="0086479B">
        <w:rPr>
          <w:rFonts w:ascii="Lato Medium" w:hAnsi="Lato Medium"/>
          <w:lang w:val="fr-CA"/>
        </w:rPr>
        <w:t>Élaborer les outils de collecte de données</w:t>
      </w:r>
      <w:r w:rsidR="0086479B" w:rsidRPr="0086479B">
        <w:rPr>
          <w:rFonts w:ascii="Lato Medium" w:hAnsi="Lato Medium"/>
          <w:lang w:val="fr-CA"/>
        </w:rPr>
        <w:t xml:space="preserve"> avec l’appui de l’équipe de l’UDC PROGRESS</w:t>
      </w:r>
      <w:r w:rsidRPr="0086479B">
        <w:rPr>
          <w:rFonts w:ascii="Lato Medium" w:hAnsi="Lato Medium"/>
          <w:lang w:val="fr-CA"/>
        </w:rPr>
        <w:t>;</w:t>
      </w:r>
    </w:p>
    <w:p w14:paraId="4F9FDF03" w14:textId="77777777" w:rsidR="00EF76DC" w:rsidRPr="0086479B" w:rsidRDefault="00EF76DC" w:rsidP="00C24AB2">
      <w:pPr>
        <w:numPr>
          <w:ilvl w:val="0"/>
          <w:numId w:val="17"/>
        </w:numPr>
        <w:jc w:val="both"/>
        <w:rPr>
          <w:rFonts w:ascii="Lato Medium" w:hAnsi="Lato Medium"/>
          <w:lang w:val="fr-CA"/>
        </w:rPr>
      </w:pPr>
      <w:r w:rsidRPr="0086479B">
        <w:rPr>
          <w:rFonts w:ascii="Lato Medium" w:hAnsi="Lato Medium"/>
          <w:lang w:val="fr-CA"/>
        </w:rPr>
        <w:t>Conduire les enquêtes sur le terrain;</w:t>
      </w:r>
    </w:p>
    <w:p w14:paraId="433B6582" w14:textId="77777777" w:rsidR="00EF76DC" w:rsidRPr="0086479B" w:rsidRDefault="00EF76DC" w:rsidP="00C24AB2">
      <w:pPr>
        <w:numPr>
          <w:ilvl w:val="0"/>
          <w:numId w:val="17"/>
        </w:numPr>
        <w:jc w:val="both"/>
        <w:rPr>
          <w:rFonts w:ascii="Lato Medium" w:hAnsi="Lato Medium"/>
          <w:lang w:val="fr-CA"/>
        </w:rPr>
      </w:pPr>
      <w:r w:rsidRPr="0086479B">
        <w:rPr>
          <w:rFonts w:ascii="Lato Medium" w:hAnsi="Lato Medium"/>
          <w:lang w:val="fr-CA"/>
        </w:rPr>
        <w:t xml:space="preserve">Analyser les données et en élaborer le rapport de mission; </w:t>
      </w:r>
    </w:p>
    <w:p w14:paraId="58B209E3" w14:textId="77777777" w:rsidR="00EF76DC" w:rsidRPr="0086479B" w:rsidRDefault="00EF76DC" w:rsidP="00C24AB2">
      <w:pPr>
        <w:numPr>
          <w:ilvl w:val="0"/>
          <w:numId w:val="17"/>
        </w:numPr>
        <w:jc w:val="both"/>
        <w:rPr>
          <w:rFonts w:ascii="Lato Medium" w:hAnsi="Lato Medium"/>
          <w:lang w:val="fr-CA"/>
        </w:rPr>
      </w:pPr>
      <w:r w:rsidRPr="0086479B">
        <w:rPr>
          <w:rFonts w:ascii="Lato Medium" w:hAnsi="Lato Medium"/>
          <w:lang w:val="fr-CA"/>
        </w:rPr>
        <w:t>Animer l’atelier d’échange sur les résultats de la mission;</w:t>
      </w:r>
    </w:p>
    <w:p w14:paraId="41322541" w14:textId="77777777" w:rsidR="00EF76DC" w:rsidRPr="0086479B" w:rsidRDefault="00EF76DC" w:rsidP="00C24AB2">
      <w:pPr>
        <w:numPr>
          <w:ilvl w:val="0"/>
          <w:numId w:val="17"/>
        </w:numPr>
        <w:jc w:val="both"/>
        <w:rPr>
          <w:rFonts w:ascii="Lato Medium" w:hAnsi="Lato Medium"/>
          <w:lang w:val="fr-CA"/>
        </w:rPr>
      </w:pPr>
      <w:r w:rsidRPr="0086479B">
        <w:rPr>
          <w:rFonts w:ascii="Lato Medium" w:hAnsi="Lato Medium"/>
          <w:lang w:val="fr-CA"/>
        </w:rPr>
        <w:t>Produire un rapport final de la mission.</w:t>
      </w:r>
    </w:p>
    <w:p w14:paraId="3F552FEB" w14:textId="77777777" w:rsidR="00EF76DC" w:rsidRPr="00EF76DC" w:rsidRDefault="00EF76DC" w:rsidP="00EF76DC">
      <w:pPr>
        <w:jc w:val="both"/>
        <w:rPr>
          <w:rFonts w:ascii="Lato Medium" w:hAnsi="Lato Medium" w:cs="Arial"/>
          <w:color w:val="000000"/>
          <w:lang w:val="fr-CA"/>
        </w:rPr>
      </w:pPr>
    </w:p>
    <w:p w14:paraId="5AD016D4" w14:textId="1B68A20E" w:rsidR="00FE5217" w:rsidRDefault="00647C50" w:rsidP="00775E2D">
      <w:pPr>
        <w:pStyle w:val="Heading1"/>
      </w:pPr>
      <w:r>
        <w:t>Profil du consultant</w:t>
      </w:r>
    </w:p>
    <w:p w14:paraId="49650856" w14:textId="645837BC" w:rsidR="00E96143" w:rsidRPr="00775E2D" w:rsidRDefault="00E96143" w:rsidP="00647C50">
      <w:pPr>
        <w:pStyle w:val="Default"/>
        <w:rPr>
          <w:rFonts w:ascii="Lato Medium" w:hAnsi="Lato Medium"/>
          <w:sz w:val="23"/>
          <w:szCs w:val="23"/>
        </w:rPr>
      </w:pPr>
      <w:r w:rsidRPr="00775E2D">
        <w:rPr>
          <w:rFonts w:ascii="Lato Medium" w:hAnsi="Lato Medium"/>
          <w:sz w:val="23"/>
          <w:szCs w:val="23"/>
        </w:rPr>
        <w:t xml:space="preserve">Le consultant, titulaire </w:t>
      </w:r>
      <w:r w:rsidRPr="00775E2D">
        <w:rPr>
          <w:rFonts w:ascii="Lato Medium" w:hAnsi="Lato Medium"/>
          <w:b/>
          <w:bCs/>
          <w:sz w:val="23"/>
          <w:szCs w:val="23"/>
        </w:rPr>
        <w:t>d’un DEA</w:t>
      </w:r>
      <w:r w:rsidR="00647C50" w:rsidRPr="00775E2D">
        <w:rPr>
          <w:rFonts w:ascii="Lato Medium" w:hAnsi="Lato Medium"/>
          <w:b/>
          <w:bCs/>
          <w:sz w:val="23"/>
          <w:szCs w:val="23"/>
        </w:rPr>
        <w:t xml:space="preserve"> ou d’un master </w:t>
      </w:r>
      <w:r w:rsidRPr="00775E2D">
        <w:rPr>
          <w:rFonts w:ascii="Lato Medium" w:hAnsi="Lato Medium"/>
          <w:b/>
          <w:bCs/>
          <w:sz w:val="23"/>
          <w:szCs w:val="23"/>
        </w:rPr>
        <w:t xml:space="preserve">en Sciences Sociales </w:t>
      </w:r>
      <w:r w:rsidRPr="00775E2D">
        <w:rPr>
          <w:rFonts w:ascii="Lato Medium" w:hAnsi="Lato Medium"/>
          <w:sz w:val="23"/>
          <w:szCs w:val="23"/>
        </w:rPr>
        <w:t>(Education, Sociologie de l’éducation, Economiste de l’éducation, Démographe,</w:t>
      </w:r>
      <w:r w:rsidR="00632755">
        <w:rPr>
          <w:rFonts w:ascii="Lato Medium" w:hAnsi="Lato Medium"/>
          <w:sz w:val="23"/>
          <w:szCs w:val="23"/>
        </w:rPr>
        <w:t xml:space="preserve"> Statistique, Cohésion sociale, </w:t>
      </w:r>
      <w:r w:rsidRPr="00775E2D">
        <w:rPr>
          <w:rFonts w:ascii="Lato Medium" w:hAnsi="Lato Medium"/>
          <w:sz w:val="23"/>
          <w:szCs w:val="23"/>
        </w:rPr>
        <w:t xml:space="preserve">etc.) ou d’un diplôme équivalent devrait avoir : </w:t>
      </w:r>
    </w:p>
    <w:p w14:paraId="05F383C6" w14:textId="2EA17C06" w:rsidR="00775E2D" w:rsidRPr="0086479B" w:rsidRDefault="00E96143" w:rsidP="00647C50">
      <w:pPr>
        <w:pStyle w:val="Default"/>
        <w:numPr>
          <w:ilvl w:val="0"/>
          <w:numId w:val="6"/>
        </w:numPr>
        <w:spacing w:after="70"/>
        <w:rPr>
          <w:rFonts w:ascii="Lato Medium" w:hAnsi="Lato Medium"/>
        </w:rPr>
      </w:pPr>
      <w:r w:rsidRPr="0086479B">
        <w:rPr>
          <w:rFonts w:ascii="Lato Medium" w:hAnsi="Lato Medium"/>
        </w:rPr>
        <w:lastRenderedPageBreak/>
        <w:t xml:space="preserve">Une expérience de conduite d’au moins </w:t>
      </w:r>
      <w:r w:rsidR="00064F37">
        <w:rPr>
          <w:rFonts w:ascii="Lato Medium" w:hAnsi="Lato Medium"/>
        </w:rPr>
        <w:t>trois</w:t>
      </w:r>
      <w:r w:rsidRPr="0086479B">
        <w:rPr>
          <w:rFonts w:ascii="Lato Medium" w:hAnsi="Lato Medium"/>
        </w:rPr>
        <w:t xml:space="preserve"> (</w:t>
      </w:r>
      <w:r w:rsidR="00064F37">
        <w:rPr>
          <w:rFonts w:ascii="Lato Medium" w:hAnsi="Lato Medium"/>
        </w:rPr>
        <w:t>3</w:t>
      </w:r>
      <w:r w:rsidRPr="0086479B">
        <w:rPr>
          <w:rFonts w:ascii="Lato Medium" w:hAnsi="Lato Medium"/>
        </w:rPr>
        <w:t>) étude</w:t>
      </w:r>
      <w:r w:rsidR="00064F37">
        <w:rPr>
          <w:rFonts w:ascii="Lato Medium" w:hAnsi="Lato Medium"/>
        </w:rPr>
        <w:t>s de Baseline</w:t>
      </w:r>
      <w:r w:rsidRPr="0086479B">
        <w:rPr>
          <w:rFonts w:ascii="Lato Medium" w:hAnsi="Lato Medium"/>
        </w:rPr>
        <w:t xml:space="preserve"> dans le domaine de </w:t>
      </w:r>
      <w:r w:rsidR="00647C50" w:rsidRPr="0086479B">
        <w:rPr>
          <w:rFonts w:ascii="Lato Medium" w:hAnsi="Lato Medium"/>
        </w:rPr>
        <w:t>la cohésion sociale</w:t>
      </w:r>
      <w:r w:rsidRPr="0086479B">
        <w:rPr>
          <w:rFonts w:ascii="Lato Medium" w:hAnsi="Lato Medium"/>
        </w:rPr>
        <w:t xml:space="preserve"> ;</w:t>
      </w:r>
    </w:p>
    <w:p w14:paraId="4A46957B" w14:textId="793359F9" w:rsidR="00647C50" w:rsidRPr="0086479B" w:rsidRDefault="00775E2D" w:rsidP="00647C50">
      <w:pPr>
        <w:pStyle w:val="Default"/>
        <w:numPr>
          <w:ilvl w:val="0"/>
          <w:numId w:val="6"/>
        </w:numPr>
        <w:spacing w:after="70"/>
        <w:rPr>
          <w:rFonts w:ascii="Lato Medium" w:hAnsi="Lato Medium"/>
        </w:rPr>
      </w:pPr>
      <w:r w:rsidRPr="0086479B">
        <w:rPr>
          <w:rFonts w:ascii="Lato Medium" w:hAnsi="Lato Medium"/>
        </w:rPr>
        <w:t>Une bonne maitrise</w:t>
      </w:r>
      <w:r w:rsidR="0086479B" w:rsidRPr="0086479B">
        <w:rPr>
          <w:rFonts w:ascii="Lato Medium" w:hAnsi="Lato Medium"/>
        </w:rPr>
        <w:t xml:space="preserve"> avérée de</w:t>
      </w:r>
      <w:r w:rsidRPr="0086479B">
        <w:rPr>
          <w:rFonts w:ascii="Lato Medium" w:hAnsi="Lato Medium"/>
        </w:rPr>
        <w:t xml:space="preserve"> la réalisation d’enquête de perception ; </w:t>
      </w:r>
      <w:r w:rsidR="00E96143" w:rsidRPr="0086479B">
        <w:rPr>
          <w:rFonts w:ascii="Lato Medium" w:hAnsi="Lato Medium"/>
        </w:rPr>
        <w:t xml:space="preserve"> </w:t>
      </w:r>
    </w:p>
    <w:p w14:paraId="67DF2C0A" w14:textId="7DC7F186" w:rsidR="00647C50" w:rsidRPr="00064F37" w:rsidRDefault="00E96143" w:rsidP="00064F37">
      <w:pPr>
        <w:pStyle w:val="Default"/>
        <w:numPr>
          <w:ilvl w:val="0"/>
          <w:numId w:val="6"/>
        </w:numPr>
        <w:spacing w:after="70"/>
        <w:rPr>
          <w:rFonts w:ascii="Lato Medium" w:hAnsi="Lato Medium"/>
        </w:rPr>
      </w:pPr>
      <w:r w:rsidRPr="0086479B">
        <w:rPr>
          <w:rFonts w:ascii="Lato Medium" w:hAnsi="Lato Medium"/>
        </w:rPr>
        <w:t>Une excellente connaissance d</w:t>
      </w:r>
      <w:r w:rsidR="00647C50" w:rsidRPr="0086479B">
        <w:rPr>
          <w:rFonts w:ascii="Lato Medium" w:hAnsi="Lato Medium"/>
        </w:rPr>
        <w:t>es trois pays de l’étude</w:t>
      </w:r>
      <w:r w:rsidRPr="0086479B">
        <w:rPr>
          <w:rFonts w:ascii="Lato Medium" w:hAnsi="Lato Medium"/>
        </w:rPr>
        <w:t xml:space="preserve"> ; </w:t>
      </w:r>
      <w:r w:rsidR="00064F37" w:rsidRPr="00064F37">
        <w:rPr>
          <w:rFonts w:ascii="Lato Medium" w:hAnsi="Lato Medium"/>
        </w:rPr>
        <w:t xml:space="preserve"> </w:t>
      </w:r>
    </w:p>
    <w:p w14:paraId="3A0C3B46" w14:textId="0D13E530" w:rsidR="0086479B" w:rsidRPr="0086479B" w:rsidRDefault="0086479B" w:rsidP="0086479B">
      <w:pPr>
        <w:numPr>
          <w:ilvl w:val="0"/>
          <w:numId w:val="6"/>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 xml:space="preserve">Expérience significative dans le domaine de l’évaluation de projets humanitaires/développement (au moins </w:t>
      </w:r>
      <w:r w:rsidR="00064F37">
        <w:rPr>
          <w:rFonts w:ascii="Lato Medium" w:hAnsi="Lato Medium"/>
          <w:color w:val="000000"/>
          <w:lang w:val="fr-CA"/>
        </w:rPr>
        <w:t>5</w:t>
      </w:r>
      <w:r w:rsidRPr="0086479B">
        <w:rPr>
          <w:rFonts w:ascii="Lato Medium" w:hAnsi="Lato Medium"/>
          <w:color w:val="000000"/>
          <w:lang w:val="fr-CA"/>
        </w:rPr>
        <w:t xml:space="preserve"> ans d’expérience)</w:t>
      </w:r>
    </w:p>
    <w:p w14:paraId="07DC0B4E" w14:textId="4F484A81" w:rsidR="0086479B" w:rsidRPr="0086479B" w:rsidRDefault="0086479B" w:rsidP="0086479B">
      <w:pPr>
        <w:numPr>
          <w:ilvl w:val="0"/>
          <w:numId w:val="6"/>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 xml:space="preserve">Compétences à écrire des rapports clairs et utiles (joindre une copie </w:t>
      </w:r>
      <w:r w:rsidR="00190705">
        <w:rPr>
          <w:rFonts w:ascii="Lato Medium" w:hAnsi="Lato Medium"/>
          <w:color w:val="000000"/>
          <w:lang w:val="fr-CA"/>
        </w:rPr>
        <w:t>d’</w:t>
      </w:r>
      <w:r w:rsidR="004252CE">
        <w:rPr>
          <w:rFonts w:ascii="Lato Medium" w:hAnsi="Lato Medium"/>
          <w:color w:val="000000"/>
          <w:lang w:val="fr-CA"/>
        </w:rPr>
        <w:t xml:space="preserve">étude </w:t>
      </w:r>
      <w:r w:rsidR="00190705">
        <w:rPr>
          <w:rFonts w:ascii="Lato Medium" w:hAnsi="Lato Medium"/>
          <w:color w:val="000000"/>
          <w:lang w:val="fr-CA"/>
        </w:rPr>
        <w:t xml:space="preserve">Baseline </w:t>
      </w:r>
      <w:r w:rsidRPr="0086479B">
        <w:rPr>
          <w:rFonts w:ascii="Lato Medium" w:hAnsi="Lato Medium"/>
          <w:color w:val="000000"/>
          <w:lang w:val="fr-CA"/>
        </w:rPr>
        <w:t>précédente</w:t>
      </w:r>
      <w:r>
        <w:rPr>
          <w:rFonts w:ascii="Lato Medium" w:hAnsi="Lato Medium"/>
          <w:color w:val="000000"/>
          <w:lang w:val="fr-CA"/>
        </w:rPr>
        <w:t>, ci-possible</w:t>
      </w:r>
      <w:r w:rsidRPr="0086479B">
        <w:rPr>
          <w:rFonts w:ascii="Lato Medium" w:hAnsi="Lato Medium"/>
          <w:color w:val="000000"/>
          <w:lang w:val="fr-CA"/>
        </w:rPr>
        <w:t>);</w:t>
      </w:r>
    </w:p>
    <w:p w14:paraId="670249B3" w14:textId="3E8487B7" w:rsidR="0086479B" w:rsidRPr="0086479B" w:rsidRDefault="0086479B" w:rsidP="0086479B">
      <w:pPr>
        <w:numPr>
          <w:ilvl w:val="0"/>
          <w:numId w:val="6"/>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Maîtrise du français</w:t>
      </w:r>
      <w:r w:rsidR="00064F37">
        <w:rPr>
          <w:rFonts w:ascii="Lato Medium" w:hAnsi="Lato Medium"/>
          <w:color w:val="000000"/>
          <w:lang w:val="fr-CA"/>
        </w:rPr>
        <w:t>;</w:t>
      </w:r>
    </w:p>
    <w:p w14:paraId="51E5405D" w14:textId="72F766E5" w:rsidR="0086479B" w:rsidRPr="0086479B" w:rsidRDefault="0086479B" w:rsidP="0086479B">
      <w:pPr>
        <w:pStyle w:val="Default"/>
        <w:numPr>
          <w:ilvl w:val="0"/>
          <w:numId w:val="6"/>
        </w:numPr>
        <w:spacing w:after="70"/>
        <w:rPr>
          <w:rFonts w:ascii="Lato Medium" w:hAnsi="Lato Medium"/>
          <w:sz w:val="22"/>
          <w:szCs w:val="22"/>
        </w:rPr>
      </w:pPr>
      <w:r w:rsidRPr="0086479B">
        <w:rPr>
          <w:rFonts w:ascii="Lato Medium" w:hAnsi="Lato Medium"/>
          <w:lang w:val="fr-CA"/>
        </w:rPr>
        <w:t>Capacité à gérer le temps et les ressources imparties et à travailler dans des délais courts;</w:t>
      </w:r>
    </w:p>
    <w:p w14:paraId="28530032" w14:textId="45550857" w:rsidR="00E23368" w:rsidRPr="0086479B" w:rsidRDefault="00E96143" w:rsidP="0086479B">
      <w:pPr>
        <w:pStyle w:val="Default"/>
        <w:numPr>
          <w:ilvl w:val="0"/>
          <w:numId w:val="6"/>
        </w:numPr>
        <w:spacing w:after="70"/>
        <w:rPr>
          <w:rFonts w:ascii="Lato Medium" w:hAnsi="Lato Medium"/>
        </w:rPr>
      </w:pPr>
      <w:r w:rsidRPr="0086479B">
        <w:rPr>
          <w:rFonts w:ascii="Lato Medium" w:hAnsi="Lato Medium"/>
        </w:rPr>
        <w:t xml:space="preserve">Une parfaite connaissance des logiciels de traitement et d’analyse des données (SPSS, </w:t>
      </w:r>
      <w:r w:rsidR="00775E2D" w:rsidRPr="0086479B">
        <w:rPr>
          <w:rFonts w:ascii="Lato Medium" w:hAnsi="Lato Medium"/>
        </w:rPr>
        <w:t>STATA, R et Excel,</w:t>
      </w:r>
      <w:r w:rsidRPr="0086479B">
        <w:rPr>
          <w:rFonts w:ascii="Lato Medium" w:hAnsi="Lato Medium"/>
        </w:rPr>
        <w:t xml:space="preserve"> etc.)</w:t>
      </w:r>
    </w:p>
    <w:p w14:paraId="39584896" w14:textId="20FBC892" w:rsidR="00E23368" w:rsidRPr="00E23368" w:rsidRDefault="00E23368" w:rsidP="00775E2D">
      <w:pPr>
        <w:pStyle w:val="Heading1"/>
      </w:pPr>
      <w:r w:rsidRPr="00E23368">
        <w:t>Soumission des dossiers de candidature</w:t>
      </w:r>
    </w:p>
    <w:p w14:paraId="423B4289" w14:textId="47091B02" w:rsidR="00401E2C" w:rsidRDefault="0086479B" w:rsidP="00401E2C">
      <w:pPr>
        <w:spacing w:before="240"/>
        <w:jc w:val="both"/>
        <w:rPr>
          <w:rFonts w:ascii="Lato Medium" w:hAnsi="Lato Medium"/>
          <w:lang w:val="fr-CA"/>
        </w:rPr>
      </w:pPr>
      <w:r w:rsidRPr="0086479B">
        <w:rPr>
          <w:rFonts w:ascii="Lato Medium" w:hAnsi="Lato Medium"/>
          <w:lang w:val="fr-CA"/>
        </w:rPr>
        <w:t xml:space="preserve">Les candidats intéressés doivent soumettre une </w:t>
      </w:r>
      <w:r w:rsidR="00064F37" w:rsidRPr="0086479B">
        <w:rPr>
          <w:rFonts w:ascii="Lato Medium" w:hAnsi="Lato Medium"/>
          <w:lang w:val="fr-CA"/>
        </w:rPr>
        <w:t>offr</w:t>
      </w:r>
      <w:r w:rsidR="00064F37">
        <w:rPr>
          <w:rFonts w:ascii="Lato Medium" w:hAnsi="Lato Medium"/>
          <w:lang w:val="fr-CA"/>
        </w:rPr>
        <w:t>e au</w:t>
      </w:r>
      <w:r w:rsidRPr="0086479B">
        <w:rPr>
          <w:rFonts w:ascii="Lato Medium" w:hAnsi="Lato Medium"/>
          <w:lang w:val="fr-CA"/>
        </w:rPr>
        <w:t xml:space="preserve"> plus tard</w:t>
      </w:r>
      <w:r w:rsidR="00064F37">
        <w:rPr>
          <w:rFonts w:ascii="Lato Medium" w:hAnsi="Lato Medium"/>
          <w:lang w:val="fr-CA"/>
        </w:rPr>
        <w:t xml:space="preserve"> le </w:t>
      </w:r>
      <w:r w:rsidR="0090395E">
        <w:rPr>
          <w:rFonts w:ascii="Lato Medium" w:hAnsi="Lato Medium"/>
          <w:lang w:val="fr-CA"/>
        </w:rPr>
        <w:t>15</w:t>
      </w:r>
      <w:r w:rsidR="00064F37">
        <w:rPr>
          <w:rFonts w:ascii="Lato Medium" w:hAnsi="Lato Medium"/>
          <w:lang w:val="fr-CA"/>
        </w:rPr>
        <w:t>/</w:t>
      </w:r>
      <w:r w:rsidR="0090395E">
        <w:rPr>
          <w:rFonts w:ascii="Lato Medium" w:hAnsi="Lato Medium"/>
          <w:lang w:val="fr-CA"/>
        </w:rPr>
        <w:t>12</w:t>
      </w:r>
      <w:r w:rsidR="00064F37">
        <w:rPr>
          <w:rFonts w:ascii="Lato Medium" w:hAnsi="Lato Medium"/>
          <w:lang w:val="fr-CA"/>
        </w:rPr>
        <w:t>/</w:t>
      </w:r>
      <w:r w:rsidRPr="0086479B">
        <w:rPr>
          <w:rFonts w:ascii="Lato Medium" w:hAnsi="Lato Medium"/>
          <w:lang w:val="fr-CA"/>
        </w:rPr>
        <w:t>2021</w:t>
      </w:r>
      <w:r w:rsidR="007D3DB1">
        <w:rPr>
          <w:rFonts w:ascii="Lato Medium" w:hAnsi="Lato Medium"/>
          <w:lang w:val="fr-CA"/>
        </w:rPr>
        <w:t xml:space="preserve"> aux adresses mails suivantes : </w:t>
      </w:r>
      <w:hyperlink r:id="rId9" w:history="1">
        <w:r w:rsidR="007D3DB1" w:rsidRPr="00981288">
          <w:rPr>
            <w:rStyle w:val="Hyperlink"/>
            <w:rFonts w:ascii="Lato Medium" w:hAnsi="Lato Medium"/>
            <w:lang w:val="fr-CA"/>
          </w:rPr>
          <w:t>Lmbodj@wa.acfspain.org</w:t>
        </w:r>
      </w:hyperlink>
      <w:r w:rsidR="00401E2C">
        <w:rPr>
          <w:rFonts w:ascii="Lato Medium" w:hAnsi="Lato Medium"/>
          <w:lang w:val="fr-CA"/>
        </w:rPr>
        <w:t xml:space="preserve">; </w:t>
      </w:r>
      <w:hyperlink r:id="rId10" w:history="1">
        <w:r w:rsidR="007D3DB1" w:rsidRPr="00981288">
          <w:rPr>
            <w:rStyle w:val="Hyperlink"/>
            <w:rFonts w:ascii="Lato Medium" w:hAnsi="Lato Medium"/>
            <w:lang w:val="fr-CA"/>
          </w:rPr>
          <w:t>aouedraogo@wa.acfspain.org</w:t>
        </w:r>
      </w:hyperlink>
      <w:r w:rsidR="00401E2C">
        <w:rPr>
          <w:rFonts w:ascii="Lato Medium" w:hAnsi="Lato Medium"/>
          <w:lang w:val="fr-CA"/>
        </w:rPr>
        <w:t xml:space="preserve">  et en Objet :</w:t>
      </w:r>
      <w:r w:rsidR="00471805">
        <w:rPr>
          <w:rFonts w:ascii="Lato Medium" w:hAnsi="Lato Medium"/>
          <w:lang w:val="fr-CA"/>
        </w:rPr>
        <w:t xml:space="preserve"> </w:t>
      </w:r>
      <w:r w:rsidR="00401E2C">
        <w:rPr>
          <w:rFonts w:ascii="Lato Medium" w:hAnsi="Lato Medium"/>
          <w:lang w:val="fr-CA"/>
        </w:rPr>
        <w:t>Consultance-PROGRESS_WADW00</w:t>
      </w:r>
      <w:r w:rsidR="00420F76">
        <w:rPr>
          <w:rFonts w:ascii="Lato Medium" w:hAnsi="Lato Medium"/>
          <w:lang w:val="fr-CA"/>
        </w:rPr>
        <w:t>971_IM</w:t>
      </w:r>
    </w:p>
    <w:p w14:paraId="6174447C" w14:textId="5ADF43DC" w:rsidR="0086479B" w:rsidRPr="0086479B" w:rsidRDefault="0086479B" w:rsidP="00401E2C">
      <w:pPr>
        <w:spacing w:before="240"/>
        <w:jc w:val="both"/>
        <w:rPr>
          <w:rFonts w:ascii="Lato Medium" w:hAnsi="Lato Medium"/>
          <w:color w:val="000000"/>
          <w:lang w:val="fr-CA"/>
        </w:rPr>
      </w:pPr>
      <w:r w:rsidRPr="0086479B">
        <w:rPr>
          <w:rFonts w:ascii="Lato Medium" w:hAnsi="Lato Medium"/>
          <w:color w:val="000000"/>
          <w:lang w:val="fr-CA"/>
        </w:rPr>
        <w:t>Une offre complète est composée de :</w:t>
      </w:r>
    </w:p>
    <w:p w14:paraId="44742476" w14:textId="2D2F3496" w:rsidR="0086479B" w:rsidRPr="0086479B" w:rsidRDefault="0086479B" w:rsidP="0086479B">
      <w:pPr>
        <w:numPr>
          <w:ilvl w:val="0"/>
          <w:numId w:val="18"/>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Un curriculum Vitae détaillé</w:t>
      </w:r>
      <w:r w:rsidR="00064F37">
        <w:rPr>
          <w:rFonts w:ascii="Lato Medium" w:hAnsi="Lato Medium"/>
          <w:color w:val="000000"/>
          <w:lang w:val="fr-CA"/>
        </w:rPr>
        <w:t xml:space="preserve"> consultants/tes; </w:t>
      </w:r>
    </w:p>
    <w:p w14:paraId="54E937CF" w14:textId="46A40B48" w:rsidR="0086479B" w:rsidRPr="0086479B" w:rsidRDefault="0086479B" w:rsidP="0086479B">
      <w:pPr>
        <w:numPr>
          <w:ilvl w:val="0"/>
          <w:numId w:val="18"/>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Une offre technique reprenant les aspects suivants : la compréhension des TDR, la méthodologie</w:t>
      </w:r>
      <w:r w:rsidR="00616C48">
        <w:rPr>
          <w:rFonts w:ascii="Lato Medium" w:hAnsi="Lato Medium"/>
          <w:color w:val="000000"/>
          <w:lang w:val="fr-CA"/>
        </w:rPr>
        <w:t xml:space="preserve"> de collecte des données</w:t>
      </w:r>
      <w:r w:rsidRPr="0086479B">
        <w:rPr>
          <w:rFonts w:ascii="Lato Medium" w:hAnsi="Lato Medium"/>
          <w:color w:val="000000"/>
          <w:lang w:val="fr-CA"/>
        </w:rPr>
        <w:t>, un chronogramme global et les moyens humains et logistiques nécessaires;</w:t>
      </w:r>
    </w:p>
    <w:p w14:paraId="120ED64C" w14:textId="77777777" w:rsidR="0086479B" w:rsidRPr="0086479B" w:rsidRDefault="0086479B" w:rsidP="0086479B">
      <w:pPr>
        <w:numPr>
          <w:ilvl w:val="0"/>
          <w:numId w:val="18"/>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Une note méthodologique sur l’agenda et les résultats attendus de la formation des enquêteurs, superviseurs;</w:t>
      </w:r>
    </w:p>
    <w:p w14:paraId="5E3FC9C5" w14:textId="77777777" w:rsidR="0086479B" w:rsidRPr="0086479B" w:rsidRDefault="0086479B" w:rsidP="0086479B">
      <w:pPr>
        <w:numPr>
          <w:ilvl w:val="0"/>
          <w:numId w:val="18"/>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Une offre financière détaillée;</w:t>
      </w:r>
    </w:p>
    <w:p w14:paraId="5B2D30C3" w14:textId="135F7B1A" w:rsidR="00471805" w:rsidRDefault="0086479B" w:rsidP="00471805">
      <w:pPr>
        <w:numPr>
          <w:ilvl w:val="0"/>
          <w:numId w:val="18"/>
        </w:numPr>
        <w:autoSpaceDE w:val="0"/>
        <w:autoSpaceDN w:val="0"/>
        <w:adjustRightInd w:val="0"/>
        <w:jc w:val="both"/>
        <w:rPr>
          <w:rFonts w:ascii="Lato Medium" w:hAnsi="Lato Medium"/>
          <w:color w:val="000000"/>
          <w:lang w:val="fr-CA"/>
        </w:rPr>
      </w:pPr>
      <w:r w:rsidRPr="0086479B">
        <w:rPr>
          <w:rFonts w:ascii="Lato Medium" w:hAnsi="Lato Medium"/>
          <w:color w:val="000000"/>
          <w:lang w:val="fr-CA"/>
        </w:rPr>
        <w:t>Les offres doivent être rédigées en français.</w:t>
      </w:r>
    </w:p>
    <w:p w14:paraId="51025A34" w14:textId="624B5AD9" w:rsidR="003A1A21" w:rsidRDefault="003A1A21" w:rsidP="003A1A21">
      <w:pPr>
        <w:autoSpaceDE w:val="0"/>
        <w:autoSpaceDN w:val="0"/>
        <w:adjustRightInd w:val="0"/>
        <w:jc w:val="both"/>
        <w:rPr>
          <w:rFonts w:ascii="Lato Medium" w:hAnsi="Lato Medium"/>
          <w:color w:val="000000"/>
          <w:lang w:val="fr-CA"/>
        </w:rPr>
      </w:pPr>
    </w:p>
    <w:p w14:paraId="7FE92E7D" w14:textId="2FA974B0" w:rsidR="003A1A21" w:rsidRDefault="003A1A21" w:rsidP="003A1A21">
      <w:pPr>
        <w:autoSpaceDE w:val="0"/>
        <w:autoSpaceDN w:val="0"/>
        <w:adjustRightInd w:val="0"/>
        <w:jc w:val="both"/>
        <w:rPr>
          <w:rFonts w:ascii="Lato Medium" w:hAnsi="Lato Medium"/>
          <w:color w:val="000000"/>
          <w:lang w:val="fr-CA"/>
        </w:rPr>
      </w:pPr>
    </w:p>
    <w:p w14:paraId="12EE4068" w14:textId="2DA3843F" w:rsidR="003A1A21" w:rsidRPr="00F64E40" w:rsidRDefault="003A1A21" w:rsidP="003A1A21">
      <w:pPr>
        <w:autoSpaceDE w:val="0"/>
        <w:autoSpaceDN w:val="0"/>
        <w:adjustRightInd w:val="0"/>
        <w:jc w:val="both"/>
        <w:rPr>
          <w:rFonts w:ascii="Lato Medium" w:hAnsi="Lato Medium"/>
          <w:b/>
          <w:bCs/>
          <w:color w:val="000000"/>
          <w:lang w:val="fr-CA"/>
        </w:rPr>
      </w:pPr>
      <w:r w:rsidRPr="00F64E40">
        <w:rPr>
          <w:rFonts w:ascii="Lato Medium" w:hAnsi="Lato Medium"/>
          <w:b/>
          <w:bCs/>
          <w:color w:val="000000"/>
          <w:lang w:val="fr-CA"/>
        </w:rPr>
        <w:t xml:space="preserve">NB : les </w:t>
      </w:r>
      <w:r w:rsidR="002A71EE" w:rsidRPr="00F64E40">
        <w:rPr>
          <w:rFonts w:ascii="Lato Medium" w:hAnsi="Lato Medium"/>
          <w:b/>
          <w:bCs/>
          <w:color w:val="000000"/>
          <w:lang w:val="fr-CA"/>
        </w:rPr>
        <w:t>éléments</w:t>
      </w:r>
      <w:r w:rsidRPr="00F64E40">
        <w:rPr>
          <w:rFonts w:ascii="Lato Medium" w:hAnsi="Lato Medium"/>
          <w:b/>
          <w:bCs/>
          <w:color w:val="000000"/>
          <w:lang w:val="fr-CA"/>
        </w:rPr>
        <w:t xml:space="preserve"> suivants tant qu’ils soient liés </w:t>
      </w:r>
      <w:r w:rsidR="002A71EE" w:rsidRPr="00F64E40">
        <w:rPr>
          <w:rFonts w:ascii="Lato Medium" w:hAnsi="Lato Medium"/>
          <w:b/>
          <w:bCs/>
          <w:color w:val="000000"/>
          <w:lang w:val="fr-CA"/>
        </w:rPr>
        <w:t>au développement des services de consultance doivent être pris en charge par le consultant : (i) Transport local; (ii) Essence; (iii) Conducteur; (iv) Logement local; (v) Nourriture; (vi) Interprète/ traducteur; et (vii) Autres questions.</w:t>
      </w:r>
    </w:p>
    <w:p w14:paraId="1F3C16A0" w14:textId="77777777" w:rsidR="002A71EE" w:rsidRDefault="002A71EE" w:rsidP="003A1A21">
      <w:pPr>
        <w:autoSpaceDE w:val="0"/>
        <w:autoSpaceDN w:val="0"/>
        <w:adjustRightInd w:val="0"/>
        <w:jc w:val="both"/>
        <w:rPr>
          <w:rFonts w:ascii="Lato Medium" w:hAnsi="Lato Medium"/>
          <w:color w:val="000000"/>
          <w:lang w:val="fr-CA"/>
        </w:rPr>
      </w:pPr>
    </w:p>
    <w:p w14:paraId="0234660F" w14:textId="77777777" w:rsidR="00471805" w:rsidRPr="00471805" w:rsidRDefault="00471805" w:rsidP="00471805">
      <w:pPr>
        <w:autoSpaceDE w:val="0"/>
        <w:autoSpaceDN w:val="0"/>
        <w:adjustRightInd w:val="0"/>
        <w:jc w:val="both"/>
        <w:rPr>
          <w:rFonts w:ascii="Lato Medium" w:hAnsi="Lato Medium"/>
          <w:color w:val="000000"/>
          <w:lang w:val="fr-CA"/>
        </w:rPr>
      </w:pPr>
    </w:p>
    <w:p w14:paraId="49F99A42" w14:textId="0690C574" w:rsidR="00E23368" w:rsidRDefault="00E23368" w:rsidP="0086479B">
      <w:pPr>
        <w:pBdr>
          <w:top w:val="nil"/>
          <w:left w:val="nil"/>
          <w:bottom w:val="nil"/>
          <w:right w:val="nil"/>
          <w:between w:val="nil"/>
        </w:pBdr>
        <w:jc w:val="both"/>
        <w:rPr>
          <w:color w:val="000000"/>
          <w:lang w:val="fr-CA"/>
        </w:rPr>
      </w:pPr>
    </w:p>
    <w:p w14:paraId="72D28FF8" w14:textId="77777777" w:rsidR="0086479B" w:rsidRPr="0038514C" w:rsidRDefault="0086479B" w:rsidP="0086479B">
      <w:pPr>
        <w:pStyle w:val="Heading1"/>
      </w:pPr>
      <w:r w:rsidRPr="0038514C">
        <w:t>QUESTIONS LÉGALES ET ÉTHIQUES</w:t>
      </w:r>
    </w:p>
    <w:p w14:paraId="12EA1668" w14:textId="77777777" w:rsidR="0086479B" w:rsidRPr="0086479B" w:rsidRDefault="0086479B" w:rsidP="0086479B">
      <w:pPr>
        <w:spacing w:before="240"/>
        <w:jc w:val="both"/>
        <w:rPr>
          <w:rFonts w:ascii="Lato Medium" w:hAnsi="Lato Medium" w:cs="Arial"/>
          <w:color w:val="000000"/>
        </w:rPr>
      </w:pPr>
      <w:r w:rsidRPr="0086479B">
        <w:rPr>
          <w:rFonts w:ascii="Lato Medium" w:hAnsi="Lato Medium" w:cs="Arial"/>
          <w:color w:val="000000"/>
        </w:rPr>
        <w:t>La propriété du rapport (préliminaire et final) appartient exclusivement au siège commanditaire et au bailleur concerné. Le document, ou toute publication relative à celui-</w:t>
      </w:r>
      <w:r w:rsidRPr="0086479B">
        <w:rPr>
          <w:rFonts w:ascii="Lato Medium" w:hAnsi="Lato Medium" w:cs="Arial"/>
          <w:color w:val="000000"/>
        </w:rPr>
        <w:lastRenderedPageBreak/>
        <w:t xml:space="preserve">ci, ne sera pas partagé avec quiconque à l'exception d'Action contre la Faim avant que ce dernier ne livre le document final au donateur(s). </w:t>
      </w:r>
    </w:p>
    <w:p w14:paraId="396A4A41" w14:textId="1EE8DCBF" w:rsidR="0086479B" w:rsidRPr="0086479B" w:rsidRDefault="0086479B" w:rsidP="0086479B">
      <w:pPr>
        <w:jc w:val="both"/>
        <w:rPr>
          <w:rFonts w:ascii="Lato Medium" w:hAnsi="Lato Medium" w:cs="Arial"/>
          <w:color w:val="000000"/>
        </w:rPr>
      </w:pPr>
      <w:r w:rsidRPr="0086479B">
        <w:rPr>
          <w:rFonts w:ascii="Lato Medium" w:hAnsi="Lato Medium" w:cs="Arial"/>
          <w:color w:val="000000"/>
        </w:rPr>
        <w:t>Tous les documents liés à</w:t>
      </w:r>
      <w:r w:rsidR="004252CE">
        <w:rPr>
          <w:rFonts w:ascii="Lato Medium" w:hAnsi="Lato Medium" w:cs="Arial"/>
          <w:color w:val="000000"/>
        </w:rPr>
        <w:t xml:space="preserve"> l’étude</w:t>
      </w:r>
      <w:r w:rsidR="00616C48">
        <w:rPr>
          <w:rFonts w:ascii="Lato Medium" w:hAnsi="Lato Medium" w:cs="Arial"/>
          <w:color w:val="000000"/>
        </w:rPr>
        <w:t xml:space="preserve"> Baseline </w:t>
      </w:r>
      <w:r w:rsidRPr="0086479B">
        <w:rPr>
          <w:rFonts w:ascii="Lato Medium" w:hAnsi="Lato Medium" w:cs="Arial"/>
          <w:color w:val="000000"/>
        </w:rPr>
        <w:t>(dans le cadre ou non des taches d</w:t>
      </w:r>
      <w:r w:rsidR="00616C48">
        <w:rPr>
          <w:rFonts w:ascii="Lato Medium" w:hAnsi="Lato Medium" w:cs="Arial"/>
          <w:color w:val="000000"/>
        </w:rPr>
        <w:t>u/ de la consultant/te</w:t>
      </w:r>
      <w:r w:rsidRPr="0086479B">
        <w:rPr>
          <w:rFonts w:ascii="Lato Medium" w:hAnsi="Lato Medium" w:cs="Arial"/>
          <w:color w:val="000000"/>
        </w:rPr>
        <w:t>), restent la propriété seule et entière d’Action contre la Faim.</w:t>
      </w:r>
    </w:p>
    <w:p w14:paraId="3DAF7B7A" w14:textId="77777777" w:rsidR="0086479B" w:rsidRPr="0086479B" w:rsidRDefault="0086479B" w:rsidP="0086479B">
      <w:pPr>
        <w:jc w:val="both"/>
        <w:rPr>
          <w:rFonts w:ascii="Lato Medium" w:hAnsi="Lato Medium" w:cs="Arial"/>
          <w:color w:val="000000"/>
        </w:rPr>
      </w:pPr>
    </w:p>
    <w:p w14:paraId="1020C553" w14:textId="03DE1F25" w:rsidR="0086479B" w:rsidRPr="0086479B" w:rsidRDefault="0086479B" w:rsidP="0086479B">
      <w:pPr>
        <w:jc w:val="both"/>
        <w:rPr>
          <w:rFonts w:ascii="Lato Medium" w:hAnsi="Lato Medium" w:cs="Arial"/>
          <w:color w:val="000000"/>
        </w:rPr>
      </w:pPr>
      <w:r w:rsidRPr="0086479B">
        <w:rPr>
          <w:rFonts w:ascii="Lato Medium" w:hAnsi="Lato Medium" w:cs="Arial"/>
          <w:color w:val="000000"/>
        </w:rPr>
        <w:t>Le</w:t>
      </w:r>
      <w:r w:rsidR="00616C48">
        <w:rPr>
          <w:rFonts w:ascii="Lato Medium" w:hAnsi="Lato Medium" w:cs="Arial"/>
          <w:color w:val="000000"/>
        </w:rPr>
        <w:t>/la</w:t>
      </w:r>
      <w:r w:rsidRPr="0086479B">
        <w:rPr>
          <w:rFonts w:ascii="Lato Medium" w:hAnsi="Lato Medium" w:cs="Arial"/>
          <w:color w:val="000000"/>
        </w:rPr>
        <w:t xml:space="preserve"> consultant</w:t>
      </w:r>
      <w:r w:rsidR="00616C48">
        <w:rPr>
          <w:rFonts w:ascii="Lato Medium" w:hAnsi="Lato Medium" w:cs="Arial"/>
          <w:color w:val="000000"/>
        </w:rPr>
        <w:t>/te</w:t>
      </w:r>
      <w:r w:rsidRPr="0086479B">
        <w:rPr>
          <w:rFonts w:ascii="Lato Medium" w:hAnsi="Lato Medium" w:cs="Arial"/>
          <w:color w:val="000000"/>
        </w:rPr>
        <w:t xml:space="preserve"> et son personnel (ou le cabinet d’étude et tout le personnel) s'engagent à adhérer à la Politique de Sauvegarde d’Action contre la Faim qui définit l'engagement d'Action contre la Faim à protéger toutes les personnes avec lesquelles nous entrons en contact dans le cadre de notre travail, y compris les enfants et les adultes à risque.</w:t>
      </w:r>
    </w:p>
    <w:p w14:paraId="7AF3B779" w14:textId="77777777" w:rsidR="0086479B" w:rsidRPr="0086479B" w:rsidRDefault="0086479B" w:rsidP="0086479B">
      <w:pPr>
        <w:pBdr>
          <w:top w:val="nil"/>
          <w:left w:val="nil"/>
          <w:bottom w:val="nil"/>
          <w:right w:val="nil"/>
          <w:between w:val="nil"/>
        </w:pBdr>
        <w:jc w:val="both"/>
        <w:rPr>
          <w:color w:val="000000"/>
        </w:rPr>
      </w:pPr>
    </w:p>
    <w:sectPr w:rsidR="0086479B" w:rsidRPr="0086479B">
      <w:footerReference w:type="default" r:id="rId11"/>
      <w:headerReference w:type="first" r:id="rId12"/>
      <w:pgSz w:w="12240" w:h="15840"/>
      <w:pgMar w:top="1337" w:right="1440" w:bottom="1455" w:left="1440" w:header="0" w:footer="91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324E" w14:textId="77777777" w:rsidR="00994ADE" w:rsidRDefault="00994ADE">
      <w:r>
        <w:separator/>
      </w:r>
    </w:p>
  </w:endnote>
  <w:endnote w:type="continuationSeparator" w:id="0">
    <w:p w14:paraId="15A068FE" w14:textId="77777777" w:rsidR="00994ADE" w:rsidRDefault="0099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Domin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utura LT Pro Book">
    <w:panose1 w:val="020B0802020204020204"/>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8B5B" w14:textId="77777777" w:rsidR="00A56C8E" w:rsidRDefault="00A56C8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D78B9">
      <w:rPr>
        <w:noProof/>
        <w:color w:val="000000"/>
      </w:rPr>
      <w:t>18</w:t>
    </w:r>
    <w:r>
      <w:rPr>
        <w:color w:val="000000"/>
      </w:rPr>
      <w:fldChar w:fldCharType="end"/>
    </w:r>
  </w:p>
  <w:p w14:paraId="3AF1D815" w14:textId="77777777" w:rsidR="00A56C8E" w:rsidRDefault="00A56C8E">
    <w:pPr>
      <w:tabs>
        <w:tab w:val="center" w:pos="4536"/>
        <w:tab w:val="right" w:pos="9072"/>
      </w:tabs>
      <w:jc w:val="center"/>
      <w:rPr>
        <w:rFonts w:ascii="Open Sans" w:eastAsia="Open Sans" w:hAnsi="Open Sans" w:cs="Open Sans"/>
        <w:color w:val="008FB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8CD1" w14:textId="77777777" w:rsidR="00994ADE" w:rsidRDefault="00994ADE">
      <w:r>
        <w:separator/>
      </w:r>
    </w:p>
  </w:footnote>
  <w:footnote w:type="continuationSeparator" w:id="0">
    <w:p w14:paraId="05AD3324" w14:textId="77777777" w:rsidR="00994ADE" w:rsidRDefault="00994ADE">
      <w:r>
        <w:continuationSeparator/>
      </w:r>
    </w:p>
  </w:footnote>
  <w:footnote w:id="1">
    <w:p w14:paraId="35CDB243" w14:textId="77777777" w:rsidR="00A56C8E" w:rsidRDefault="00A56C8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Cluster protection, Rapport mensuel d’analyse des données de monitoring de protection, Régions de </w:t>
      </w:r>
      <w:proofErr w:type="spellStart"/>
      <w:r>
        <w:rPr>
          <w:color w:val="000000"/>
          <w:sz w:val="20"/>
          <w:szCs w:val="20"/>
        </w:rPr>
        <w:t>Tillabéri</w:t>
      </w:r>
      <w:proofErr w:type="spellEnd"/>
      <w:r>
        <w:rPr>
          <w:color w:val="000000"/>
          <w:sz w:val="20"/>
          <w:szCs w:val="20"/>
        </w:rPr>
        <w:t xml:space="preserve">, et Tahoua (Niger), décembre 2020, p.3.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6AB9" w14:textId="398FC22B" w:rsidR="00A56C8E" w:rsidRDefault="00A56C8E">
    <w:pPr>
      <w:pBdr>
        <w:top w:val="nil"/>
        <w:left w:val="nil"/>
        <w:bottom w:val="nil"/>
        <w:right w:val="nil"/>
        <w:between w:val="nil"/>
      </w:pBdr>
      <w:tabs>
        <w:tab w:val="center" w:pos="4536"/>
        <w:tab w:val="right" w:pos="9072"/>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065893"/>
    <w:multiLevelType w:val="hybridMultilevel"/>
    <w:tmpl w:val="B2340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91572"/>
    <w:multiLevelType w:val="hybridMultilevel"/>
    <w:tmpl w:val="66F686FE"/>
    <w:lvl w:ilvl="0" w:tplc="5E2E8C1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FF473E"/>
    <w:multiLevelType w:val="multilevel"/>
    <w:tmpl w:val="4F7010E0"/>
    <w:lvl w:ilvl="0">
      <w:start w:val="1"/>
      <w:numFmt w:val="lowerRoman"/>
      <w:lvlText w:val="(%1)"/>
      <w:lvlJc w:val="left"/>
      <w:pPr>
        <w:ind w:left="720" w:hanging="360"/>
      </w:pPr>
      <w:rPr>
        <w:rFonts w:ascii="Lato Medium" w:eastAsia="Times New Roman" w:hAnsi="Lato Medium"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EF1571"/>
    <w:multiLevelType w:val="hybridMultilevel"/>
    <w:tmpl w:val="913667FE"/>
    <w:lvl w:ilvl="0" w:tplc="D146F41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B501A"/>
    <w:multiLevelType w:val="hybridMultilevel"/>
    <w:tmpl w:val="61BC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01EC8"/>
    <w:multiLevelType w:val="hybridMultilevel"/>
    <w:tmpl w:val="3ACAB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956D3"/>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785353A"/>
    <w:multiLevelType w:val="multilevel"/>
    <w:tmpl w:val="4F7010E0"/>
    <w:lvl w:ilvl="0">
      <w:start w:val="1"/>
      <w:numFmt w:val="lowerRoman"/>
      <w:lvlText w:val="(%1)"/>
      <w:lvlJc w:val="left"/>
      <w:pPr>
        <w:ind w:left="720" w:hanging="360"/>
      </w:pPr>
      <w:rPr>
        <w:rFonts w:ascii="Lato Medium" w:eastAsia="Times New Roman" w:hAnsi="Lato Medium"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162643"/>
    <w:multiLevelType w:val="hybridMultilevel"/>
    <w:tmpl w:val="A2F64BEE"/>
    <w:lvl w:ilvl="0" w:tplc="778CA89C">
      <w:start w:val="1"/>
      <w:numFmt w:val="bullet"/>
      <w:pStyle w:val="listbullet1"/>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67611"/>
    <w:multiLevelType w:val="hybridMultilevel"/>
    <w:tmpl w:val="38E4F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591213"/>
    <w:multiLevelType w:val="multilevel"/>
    <w:tmpl w:val="0A7CB4CA"/>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1D7E49"/>
    <w:multiLevelType w:val="multilevel"/>
    <w:tmpl w:val="BDDEA3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7D4C9B"/>
    <w:multiLevelType w:val="hybridMultilevel"/>
    <w:tmpl w:val="E4AC576E"/>
    <w:lvl w:ilvl="0" w:tplc="C1427250">
      <w:start w:val="2"/>
      <w:numFmt w:val="bullet"/>
      <w:lvlText w:val="•"/>
      <w:lvlJc w:val="left"/>
      <w:pPr>
        <w:ind w:left="1080" w:hanging="360"/>
      </w:pPr>
      <w:rPr>
        <w:rFonts w:ascii="Lato" w:eastAsia="Calibri" w:hAnsi="Lato"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1866583"/>
    <w:multiLevelType w:val="hybridMultilevel"/>
    <w:tmpl w:val="3E246814"/>
    <w:lvl w:ilvl="0" w:tplc="0022773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B42C4C"/>
    <w:multiLevelType w:val="hybridMultilevel"/>
    <w:tmpl w:val="C464DB2A"/>
    <w:lvl w:ilvl="0" w:tplc="0374D7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FD03F0"/>
    <w:multiLevelType w:val="multilevel"/>
    <w:tmpl w:val="946ECD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6"/>
  </w:num>
  <w:num w:numId="3">
    <w:abstractNumId w:val="11"/>
  </w:num>
  <w:num w:numId="4">
    <w:abstractNumId w:val="6"/>
  </w:num>
  <w:num w:numId="5">
    <w:abstractNumId w:val="1"/>
  </w:num>
  <w:num w:numId="6">
    <w:abstractNumId w:val="5"/>
  </w:num>
  <w:num w:numId="7">
    <w:abstractNumId w:val="10"/>
  </w:num>
  <w:num w:numId="8">
    <w:abstractNumId w:val="14"/>
  </w:num>
  <w:num w:numId="9">
    <w:abstractNumId w:val="14"/>
  </w:num>
  <w:num w:numId="10">
    <w:abstractNumId w:val="14"/>
  </w:num>
  <w:num w:numId="11">
    <w:abstractNumId w:val="4"/>
  </w:num>
  <w:num w:numId="12">
    <w:abstractNumId w:val="15"/>
  </w:num>
  <w:num w:numId="13">
    <w:abstractNumId w:val="2"/>
  </w:num>
  <w:num w:numId="14">
    <w:abstractNumId w:val="3"/>
  </w:num>
  <w:num w:numId="15">
    <w:abstractNumId w:val="7"/>
  </w:num>
  <w:num w:numId="16">
    <w:abstractNumId w:val="0"/>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36"/>
    <w:rsid w:val="00045A73"/>
    <w:rsid w:val="00064F37"/>
    <w:rsid w:val="00070677"/>
    <w:rsid w:val="000750B9"/>
    <w:rsid w:val="00097E67"/>
    <w:rsid w:val="00176F1E"/>
    <w:rsid w:val="00190705"/>
    <w:rsid w:val="00201A31"/>
    <w:rsid w:val="00226B30"/>
    <w:rsid w:val="0025031B"/>
    <w:rsid w:val="00274C69"/>
    <w:rsid w:val="002851B8"/>
    <w:rsid w:val="002A71EE"/>
    <w:rsid w:val="00325536"/>
    <w:rsid w:val="00387F4C"/>
    <w:rsid w:val="003A1A21"/>
    <w:rsid w:val="003B1A46"/>
    <w:rsid w:val="003B6A80"/>
    <w:rsid w:val="003D78B9"/>
    <w:rsid w:val="00401E2C"/>
    <w:rsid w:val="00420F76"/>
    <w:rsid w:val="004252CE"/>
    <w:rsid w:val="00464AC9"/>
    <w:rsid w:val="00471805"/>
    <w:rsid w:val="004E31D6"/>
    <w:rsid w:val="004E4A47"/>
    <w:rsid w:val="00553B4B"/>
    <w:rsid w:val="00610594"/>
    <w:rsid w:val="00616C48"/>
    <w:rsid w:val="00627D5E"/>
    <w:rsid w:val="00632755"/>
    <w:rsid w:val="006428E4"/>
    <w:rsid w:val="00647C50"/>
    <w:rsid w:val="006B357B"/>
    <w:rsid w:val="006F1BF9"/>
    <w:rsid w:val="0073515D"/>
    <w:rsid w:val="00767D55"/>
    <w:rsid w:val="00775E2D"/>
    <w:rsid w:val="007B4E98"/>
    <w:rsid w:val="007B671D"/>
    <w:rsid w:val="007D3DB1"/>
    <w:rsid w:val="008613FA"/>
    <w:rsid w:val="0086479B"/>
    <w:rsid w:val="0088195C"/>
    <w:rsid w:val="008B0C8C"/>
    <w:rsid w:val="008B4801"/>
    <w:rsid w:val="008D2BB9"/>
    <w:rsid w:val="008E5FD6"/>
    <w:rsid w:val="0090395E"/>
    <w:rsid w:val="00994ADE"/>
    <w:rsid w:val="00A13E4C"/>
    <w:rsid w:val="00A36542"/>
    <w:rsid w:val="00A56C8E"/>
    <w:rsid w:val="00A844BE"/>
    <w:rsid w:val="00AA4085"/>
    <w:rsid w:val="00AA4412"/>
    <w:rsid w:val="00AA511E"/>
    <w:rsid w:val="00B44B2E"/>
    <w:rsid w:val="00B44C2C"/>
    <w:rsid w:val="00BC49CF"/>
    <w:rsid w:val="00C24AB2"/>
    <w:rsid w:val="00C3180C"/>
    <w:rsid w:val="00C5598E"/>
    <w:rsid w:val="00CE5B65"/>
    <w:rsid w:val="00D13110"/>
    <w:rsid w:val="00D236A1"/>
    <w:rsid w:val="00D43C12"/>
    <w:rsid w:val="00D62647"/>
    <w:rsid w:val="00D82FEC"/>
    <w:rsid w:val="00D9621C"/>
    <w:rsid w:val="00DA2270"/>
    <w:rsid w:val="00DD38F3"/>
    <w:rsid w:val="00E10436"/>
    <w:rsid w:val="00E14D06"/>
    <w:rsid w:val="00E23368"/>
    <w:rsid w:val="00E77596"/>
    <w:rsid w:val="00E8625E"/>
    <w:rsid w:val="00E96143"/>
    <w:rsid w:val="00ED67CF"/>
    <w:rsid w:val="00EF76DC"/>
    <w:rsid w:val="00F64E40"/>
    <w:rsid w:val="00F77B8E"/>
    <w:rsid w:val="00F87156"/>
    <w:rsid w:val="00FA05BA"/>
    <w:rsid w:val="00FE5217"/>
    <w:rsid w:val="00FF5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12C5"/>
  <w15:docId w15:val="{6508B22A-9AF2-4A81-AB58-6869A184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 Car Car Car Car"/>
    <w:basedOn w:val="Normal"/>
    <w:next w:val="Normal"/>
    <w:qFormat/>
    <w:rsid w:val="00D236A1"/>
    <w:pPr>
      <w:keepNext/>
      <w:keepLines/>
      <w:numPr>
        <w:numId w:val="15"/>
      </w:numPr>
      <w:spacing w:before="120" w:after="240"/>
      <w:jc w:val="both"/>
      <w:outlineLvl w:val="0"/>
    </w:pPr>
    <w:rPr>
      <w:rFonts w:ascii="Lato Medium" w:eastAsia="Domine" w:hAnsi="Lato Medium" w:cs="Domine"/>
      <w:b/>
      <w:color w:val="008FBE"/>
      <w:sz w:val="36"/>
      <w:szCs w:val="36"/>
    </w:rPr>
  </w:style>
  <w:style w:type="paragraph" w:styleId="Heading2">
    <w:name w:val="heading 2"/>
    <w:basedOn w:val="Normal"/>
    <w:next w:val="Normal"/>
    <w:unhideWhenUsed/>
    <w:qFormat/>
    <w:rsid w:val="0073515D"/>
    <w:pPr>
      <w:keepNext/>
      <w:keepLines/>
      <w:numPr>
        <w:ilvl w:val="1"/>
        <w:numId w:val="15"/>
      </w:numPr>
      <w:spacing w:before="200"/>
      <w:jc w:val="both"/>
      <w:outlineLvl w:val="1"/>
    </w:pPr>
    <w:rPr>
      <w:rFonts w:ascii="Lato Medium" w:hAnsi="Lato Medium"/>
      <w:b/>
      <w:color w:val="0069A6"/>
      <w:sz w:val="28"/>
      <w:szCs w:val="28"/>
    </w:rPr>
  </w:style>
  <w:style w:type="paragraph" w:styleId="Heading3">
    <w:name w:val="heading 3"/>
    <w:basedOn w:val="Normal"/>
    <w:next w:val="Normal"/>
    <w:uiPriority w:val="9"/>
    <w:semiHidden/>
    <w:unhideWhenUsed/>
    <w:qFormat/>
    <w:pPr>
      <w:keepNext/>
      <w:keepLines/>
      <w:numPr>
        <w:ilvl w:val="2"/>
        <w:numId w:val="15"/>
      </w:numPr>
      <w:spacing w:before="200"/>
      <w:outlineLvl w:val="2"/>
    </w:pPr>
    <w:rPr>
      <w:rFonts w:ascii="Calibri" w:eastAsia="Calibri" w:hAnsi="Calibri" w:cs="Calibri"/>
      <w:b/>
      <w:color w:val="079B6D"/>
    </w:rPr>
  </w:style>
  <w:style w:type="paragraph" w:styleId="Heading4">
    <w:name w:val="heading 4"/>
    <w:basedOn w:val="Normal"/>
    <w:next w:val="Normal"/>
    <w:uiPriority w:val="9"/>
    <w:semiHidden/>
    <w:unhideWhenUsed/>
    <w:qFormat/>
    <w:pPr>
      <w:keepNext/>
      <w:keepLines/>
      <w:numPr>
        <w:ilvl w:val="3"/>
        <w:numId w:val="15"/>
      </w:numPr>
      <w:spacing w:before="240" w:after="40"/>
      <w:outlineLvl w:val="3"/>
    </w:pPr>
    <w:rPr>
      <w:b/>
      <w:color w:val="000000"/>
    </w:rPr>
  </w:style>
  <w:style w:type="paragraph" w:styleId="Heading5">
    <w:name w:val="heading 5"/>
    <w:basedOn w:val="Normal"/>
    <w:next w:val="Normal"/>
    <w:uiPriority w:val="9"/>
    <w:semiHidden/>
    <w:unhideWhenUsed/>
    <w:qFormat/>
    <w:pPr>
      <w:keepNext/>
      <w:keepLines/>
      <w:numPr>
        <w:ilvl w:val="4"/>
        <w:numId w:val="15"/>
      </w:numP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numPr>
        <w:ilvl w:val="5"/>
        <w:numId w:val="15"/>
      </w:numPr>
      <w:spacing w:before="200" w:after="40"/>
      <w:outlineLvl w:val="5"/>
    </w:pPr>
    <w:rPr>
      <w:b/>
      <w:color w:val="000000"/>
      <w:sz w:val="20"/>
      <w:szCs w:val="20"/>
    </w:rPr>
  </w:style>
  <w:style w:type="paragraph" w:styleId="Heading7">
    <w:name w:val="heading 7"/>
    <w:basedOn w:val="Normal"/>
    <w:next w:val="Normal"/>
    <w:link w:val="Heading7Char"/>
    <w:uiPriority w:val="9"/>
    <w:semiHidden/>
    <w:unhideWhenUsed/>
    <w:qFormat/>
    <w:rsid w:val="0073515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515D"/>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15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240" w:line="276" w:lineRule="auto"/>
    </w:pPr>
    <w:rPr>
      <w:b/>
      <w:color w:val="000000"/>
      <w:sz w:val="44"/>
      <w:szCs w:val="44"/>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pPr>
      <w:keepNext/>
      <w:keepLines/>
    </w:pPr>
    <w:rPr>
      <w:rFonts w:ascii="Calibri" w:eastAsia="Calibri" w:hAnsi="Calibri" w:cs="Calibri"/>
      <w:i/>
      <w:color w:val="008FB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FD"/>
    <w:rPr>
      <w:rFonts w:ascii="Segoe UI" w:hAnsi="Segoe UI" w:cs="Segoe UI"/>
      <w:sz w:val="18"/>
      <w:szCs w:val="18"/>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6376"/>
    <w:pPr>
      <w:tabs>
        <w:tab w:val="center" w:pos="4680"/>
        <w:tab w:val="right" w:pos="9360"/>
      </w:tabs>
    </w:pPr>
  </w:style>
  <w:style w:type="character" w:customStyle="1" w:styleId="HeaderChar">
    <w:name w:val="Header Char"/>
    <w:basedOn w:val="DefaultParagraphFont"/>
    <w:link w:val="Header"/>
    <w:uiPriority w:val="99"/>
    <w:rsid w:val="00166376"/>
  </w:style>
  <w:style w:type="paragraph" w:styleId="Footer">
    <w:name w:val="footer"/>
    <w:basedOn w:val="Normal"/>
    <w:link w:val="FooterChar"/>
    <w:uiPriority w:val="99"/>
    <w:unhideWhenUsed/>
    <w:rsid w:val="00166376"/>
    <w:pPr>
      <w:tabs>
        <w:tab w:val="center" w:pos="4680"/>
        <w:tab w:val="right" w:pos="9360"/>
      </w:tabs>
    </w:pPr>
  </w:style>
  <w:style w:type="character" w:customStyle="1" w:styleId="FooterChar">
    <w:name w:val="Footer Char"/>
    <w:basedOn w:val="DefaultParagraphFont"/>
    <w:link w:val="Footer"/>
    <w:uiPriority w:val="99"/>
    <w:rsid w:val="00166376"/>
  </w:style>
  <w:style w:type="paragraph" w:styleId="ListParagraph">
    <w:name w:val="List Paragraph"/>
    <w:aliases w:val="Evidence on Demand bullet points,Dot pt,List Paragraph Char Char Char,Indicator Text,List Paragraph1,Numbered Para 1,List Paragraph12,Bullet Points,MAIN CONTENT,Colorful List - Accent 11,Premier,Bullet 1"/>
    <w:basedOn w:val="Normal"/>
    <w:link w:val="ListParagraphChar"/>
    <w:uiPriority w:val="34"/>
    <w:qFormat/>
    <w:rsid w:val="00EC7C31"/>
    <w:pPr>
      <w:ind w:left="720"/>
      <w:contextualSpacing/>
    </w:pPr>
  </w:style>
  <w:style w:type="paragraph" w:styleId="CommentSubject">
    <w:name w:val="annotation subject"/>
    <w:basedOn w:val="CommentText"/>
    <w:next w:val="CommentText"/>
    <w:link w:val="CommentSubjectChar"/>
    <w:uiPriority w:val="99"/>
    <w:semiHidden/>
    <w:unhideWhenUsed/>
    <w:rsid w:val="00F00274"/>
    <w:rPr>
      <w:b/>
      <w:bCs/>
    </w:rPr>
  </w:style>
  <w:style w:type="character" w:customStyle="1" w:styleId="CommentSubjectChar">
    <w:name w:val="Comment Subject Char"/>
    <w:basedOn w:val="CommentTextChar"/>
    <w:link w:val="CommentSubject"/>
    <w:uiPriority w:val="99"/>
    <w:semiHidden/>
    <w:rsid w:val="00F00274"/>
    <w:rPr>
      <w:b/>
      <w:bCs/>
      <w:sz w:val="20"/>
      <w:szCs w:val="20"/>
    </w:r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8F1013"/>
    <w:rPr>
      <w:sz w:val="20"/>
      <w:szCs w:val="20"/>
    </w:rPr>
  </w:style>
  <w:style w:type="character" w:customStyle="1" w:styleId="FootnoteTextChar">
    <w:name w:val="Footnote Text Char"/>
    <w:basedOn w:val="DefaultParagraphFont"/>
    <w:link w:val="FootnoteText"/>
    <w:uiPriority w:val="99"/>
    <w:semiHidden/>
    <w:rsid w:val="008F1013"/>
    <w:rPr>
      <w:sz w:val="20"/>
      <w:szCs w:val="20"/>
    </w:rPr>
  </w:style>
  <w:style w:type="character" w:styleId="FootnoteReference">
    <w:name w:val="footnote reference"/>
    <w:basedOn w:val="DefaultParagraphFont"/>
    <w:uiPriority w:val="99"/>
    <w:semiHidden/>
    <w:unhideWhenUsed/>
    <w:rsid w:val="008F1013"/>
    <w:rPr>
      <w:vertAlign w:val="superscript"/>
    </w:rPr>
  </w:style>
  <w:style w:type="paragraph" w:styleId="Revision">
    <w:name w:val="Revision"/>
    <w:hidden/>
    <w:uiPriority w:val="99"/>
    <w:semiHidden/>
    <w:rsid w:val="00256C88"/>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left w:w="70" w:type="dxa"/>
        <w:right w:w="70" w:type="dxa"/>
      </w:tblCellMar>
    </w:tblPr>
  </w:style>
  <w:style w:type="table" w:customStyle="1" w:styleId="affb">
    <w:basedOn w:val="TableNormal3"/>
    <w:tblPr>
      <w:tblStyleRowBandSize w:val="1"/>
      <w:tblStyleColBandSize w:val="1"/>
      <w:tblCellMar>
        <w:left w:w="70" w:type="dxa"/>
        <w:right w:w="70"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table" w:customStyle="1" w:styleId="afffc">
    <w:basedOn w:val="TableNormal3"/>
    <w:tblPr>
      <w:tblStyleRowBandSize w:val="1"/>
      <w:tblStyleColBandSize w:val="1"/>
      <w:tblCellMar>
        <w:top w:w="100" w:type="dxa"/>
        <w:left w:w="100" w:type="dxa"/>
        <w:bottom w:w="100" w:type="dxa"/>
        <w:right w:w="100" w:type="dxa"/>
      </w:tblCellMar>
    </w:tblPr>
  </w:style>
  <w:style w:type="table" w:customStyle="1" w:styleId="afffd">
    <w:basedOn w:val="TableNormal3"/>
    <w:tblPr>
      <w:tblStyleRowBandSize w:val="1"/>
      <w:tblStyleColBandSize w:val="1"/>
      <w:tblCellMar>
        <w:top w:w="100" w:type="dxa"/>
        <w:left w:w="100" w:type="dxa"/>
        <w:bottom w:w="100" w:type="dxa"/>
        <w:right w:w="100" w:type="dxa"/>
      </w:tblCellMar>
    </w:tblPr>
  </w:style>
  <w:style w:type="table" w:customStyle="1" w:styleId="afffe">
    <w:basedOn w:val="TableNormal3"/>
    <w:tblPr>
      <w:tblStyleRowBandSize w:val="1"/>
      <w:tblStyleColBandSize w:val="1"/>
      <w:tblCellMar>
        <w:top w:w="100" w:type="dxa"/>
        <w:left w:w="100" w:type="dxa"/>
        <w:bottom w:w="100" w:type="dxa"/>
        <w:right w:w="100" w:type="dxa"/>
      </w:tblCellMar>
    </w:tblPr>
  </w:style>
  <w:style w:type="table" w:customStyle="1" w:styleId="affff">
    <w:basedOn w:val="TableNormal3"/>
    <w:tblPr>
      <w:tblStyleRowBandSize w:val="1"/>
      <w:tblStyleColBandSize w:val="1"/>
      <w:tblCellMar>
        <w:top w:w="100" w:type="dxa"/>
        <w:left w:w="100" w:type="dxa"/>
        <w:bottom w:w="100" w:type="dxa"/>
        <w:right w:w="100" w:type="dxa"/>
      </w:tblCellMar>
    </w:tblPr>
  </w:style>
  <w:style w:type="table" w:customStyle="1" w:styleId="affff0">
    <w:basedOn w:val="TableNormal3"/>
    <w:tblPr>
      <w:tblStyleRowBandSize w:val="1"/>
      <w:tblStyleColBandSize w:val="1"/>
      <w:tblCellMar>
        <w:top w:w="100" w:type="dxa"/>
        <w:left w:w="100" w:type="dxa"/>
        <w:bottom w:w="100" w:type="dxa"/>
        <w:right w:w="100" w:type="dxa"/>
      </w:tblCellMar>
    </w:tblPr>
  </w:style>
  <w:style w:type="table" w:customStyle="1" w:styleId="affff1">
    <w:basedOn w:val="TableNormal3"/>
    <w:tblPr>
      <w:tblStyleRowBandSize w:val="1"/>
      <w:tblStyleColBandSize w:val="1"/>
      <w:tblCellMar>
        <w:top w:w="100" w:type="dxa"/>
        <w:left w:w="100" w:type="dxa"/>
        <w:bottom w:w="100" w:type="dxa"/>
        <w:right w:w="100" w:type="dxa"/>
      </w:tblCellMar>
    </w:tblPr>
  </w:style>
  <w:style w:type="table" w:customStyle="1" w:styleId="affff2">
    <w:basedOn w:val="TableNormal3"/>
    <w:tblPr>
      <w:tblStyleRowBandSize w:val="1"/>
      <w:tblStyleColBandSize w:val="1"/>
      <w:tblCellMar>
        <w:top w:w="100" w:type="dxa"/>
        <w:left w:w="100" w:type="dxa"/>
        <w:bottom w:w="100" w:type="dxa"/>
        <w:right w:w="100" w:type="dxa"/>
      </w:tblCellMar>
    </w:tblPr>
  </w:style>
  <w:style w:type="table" w:customStyle="1" w:styleId="affff3">
    <w:basedOn w:val="TableNormal3"/>
    <w:tblPr>
      <w:tblStyleRowBandSize w:val="1"/>
      <w:tblStyleColBandSize w:val="1"/>
      <w:tblCellMar>
        <w:top w:w="100" w:type="dxa"/>
        <w:left w:w="100" w:type="dxa"/>
        <w:bottom w:w="100" w:type="dxa"/>
        <w:right w:w="100" w:type="dxa"/>
      </w:tblCellMar>
    </w:tblPr>
  </w:style>
  <w:style w:type="table" w:customStyle="1" w:styleId="affff4">
    <w:basedOn w:val="TableNormal3"/>
    <w:tblPr>
      <w:tblStyleRowBandSize w:val="1"/>
      <w:tblStyleColBandSize w:val="1"/>
      <w:tblCellMar>
        <w:top w:w="100" w:type="dxa"/>
        <w:left w:w="100" w:type="dxa"/>
        <w:bottom w:w="100" w:type="dxa"/>
        <w:right w:w="100" w:type="dxa"/>
      </w:tblCellMar>
    </w:tblPr>
  </w:style>
  <w:style w:type="table" w:customStyle="1" w:styleId="affff5">
    <w:basedOn w:val="TableNormal2"/>
    <w:tblPr>
      <w:tblStyleRowBandSize w:val="1"/>
      <w:tblStyleColBandSize w:val="1"/>
      <w:tblCellMar>
        <w:top w:w="100" w:type="dxa"/>
        <w:left w:w="100" w:type="dxa"/>
        <w:bottom w:w="100" w:type="dxa"/>
        <w:right w:w="100" w:type="dxa"/>
      </w:tblCellMar>
    </w:tblPr>
  </w:style>
  <w:style w:type="table" w:customStyle="1" w:styleId="affff6">
    <w:basedOn w:val="TableNormal2"/>
    <w:tblPr>
      <w:tblStyleRowBandSize w:val="1"/>
      <w:tblStyleColBandSize w:val="1"/>
      <w:tblCellMar>
        <w:top w:w="100" w:type="dxa"/>
        <w:left w:w="100" w:type="dxa"/>
        <w:bottom w:w="100" w:type="dxa"/>
        <w:right w:w="100" w:type="dxa"/>
      </w:tblCellMar>
    </w:tblPr>
  </w:style>
  <w:style w:type="table" w:customStyle="1" w:styleId="affff7">
    <w:basedOn w:val="TableNormal2"/>
    <w:tblPr>
      <w:tblStyleRowBandSize w:val="1"/>
      <w:tblStyleColBandSize w:val="1"/>
      <w:tblCellMar>
        <w:top w:w="100" w:type="dxa"/>
        <w:left w:w="100" w:type="dxa"/>
        <w:bottom w:w="100" w:type="dxa"/>
        <w:right w:w="100" w:type="dxa"/>
      </w:tblCellMar>
    </w:tblPr>
  </w:style>
  <w:style w:type="table" w:customStyle="1" w:styleId="affff8">
    <w:basedOn w:val="TableNormal2"/>
    <w:tblPr>
      <w:tblStyleRowBandSize w:val="1"/>
      <w:tblStyleColBandSize w:val="1"/>
      <w:tblCellMar>
        <w:top w:w="100" w:type="dxa"/>
        <w:left w:w="100" w:type="dxa"/>
        <w:bottom w:w="100" w:type="dxa"/>
        <w:right w:w="100" w:type="dxa"/>
      </w:tblCellMar>
    </w:tbl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2"/>
    <w:tblPr>
      <w:tblStyleRowBandSize w:val="1"/>
      <w:tblStyleColBandSize w:val="1"/>
      <w:tblCellMar>
        <w:top w:w="100" w:type="dxa"/>
        <w:left w:w="100" w:type="dxa"/>
        <w:bottom w:w="100" w:type="dxa"/>
        <w:right w:w="100"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top w:w="100" w:type="dxa"/>
        <w:left w:w="100" w:type="dxa"/>
        <w:bottom w:w="100" w:type="dxa"/>
        <w:right w:w="100" w:type="dxa"/>
      </w:tblCellMar>
    </w:tblPr>
  </w:style>
  <w:style w:type="table" w:customStyle="1" w:styleId="afffff0">
    <w:basedOn w:val="TableNormal2"/>
    <w:tblPr>
      <w:tblStyleRowBandSize w:val="1"/>
      <w:tblStyleColBandSize w:val="1"/>
      <w:tblCellMar>
        <w:top w:w="100" w:type="dxa"/>
        <w:left w:w="100" w:type="dxa"/>
        <w:bottom w:w="100" w:type="dxa"/>
        <w:right w:w="100" w:type="dxa"/>
      </w:tblCellMar>
    </w:tblPr>
  </w:style>
  <w:style w:type="table" w:customStyle="1" w:styleId="afffff1">
    <w:basedOn w:val="TableNormal2"/>
    <w:tblPr>
      <w:tblStyleRowBandSize w:val="1"/>
      <w:tblStyleColBandSize w:val="1"/>
      <w:tblCellMar>
        <w:top w:w="100" w:type="dxa"/>
        <w:left w:w="100" w:type="dxa"/>
        <w:bottom w:w="100" w:type="dxa"/>
        <w:right w:w="100" w:type="dxa"/>
      </w:tblCellMar>
    </w:tblPr>
  </w:style>
  <w:style w:type="table" w:customStyle="1" w:styleId="afffff2">
    <w:basedOn w:val="TableNormal2"/>
    <w:tblPr>
      <w:tblStyleRowBandSize w:val="1"/>
      <w:tblStyleColBandSize w:val="1"/>
      <w:tblCellMar>
        <w:top w:w="100" w:type="dxa"/>
        <w:left w:w="100" w:type="dxa"/>
        <w:bottom w:w="100" w:type="dxa"/>
        <w:right w:w="100" w:type="dxa"/>
      </w:tblCellMar>
    </w:tblPr>
  </w:style>
  <w:style w:type="paragraph" w:customStyle="1" w:styleId="Default">
    <w:name w:val="Default"/>
    <w:rsid w:val="00E96143"/>
    <w:pPr>
      <w:autoSpaceDE w:val="0"/>
      <w:autoSpaceDN w:val="0"/>
      <w:adjustRightInd w:val="0"/>
    </w:pPr>
    <w:rPr>
      <w:rFonts w:ascii="Arial" w:hAnsi="Arial" w:cs="Arial"/>
      <w:color w:val="000000"/>
    </w:rPr>
  </w:style>
  <w:style w:type="character" w:customStyle="1" w:styleId="ListParagraphChar">
    <w:name w:val="List Paragraph Char"/>
    <w:aliases w:val="Evidence on Demand bullet points Char,Dot pt Char,List Paragraph Char Char Char Char,Indicator Text Char,List Paragraph1 Char,Numbered Para 1 Char,List Paragraph12 Char,Bullet Points Char,MAIN CONTENT Char,Premier Char,Bullet 1 Char"/>
    <w:link w:val="ListParagraph"/>
    <w:uiPriority w:val="34"/>
    <w:locked/>
    <w:rsid w:val="0073515D"/>
  </w:style>
  <w:style w:type="character" w:customStyle="1" w:styleId="Heading7Char">
    <w:name w:val="Heading 7 Char"/>
    <w:basedOn w:val="DefaultParagraphFont"/>
    <w:link w:val="Heading7"/>
    <w:uiPriority w:val="9"/>
    <w:semiHidden/>
    <w:rsid w:val="0073515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351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515D"/>
    <w:rPr>
      <w:rFonts w:asciiTheme="majorHAnsi" w:eastAsiaTheme="majorEastAsia" w:hAnsiTheme="majorHAnsi" w:cstheme="majorBidi"/>
      <w:i/>
      <w:iCs/>
      <w:color w:val="272727" w:themeColor="text1" w:themeTint="D8"/>
      <w:sz w:val="21"/>
      <w:szCs w:val="21"/>
    </w:rPr>
  </w:style>
  <w:style w:type="paragraph" w:customStyle="1" w:styleId="listbullet1">
    <w:name w:val="listbullet1"/>
    <w:basedOn w:val="Normal"/>
    <w:rsid w:val="0086479B"/>
    <w:pPr>
      <w:numPr>
        <w:numId w:val="18"/>
      </w:numPr>
      <w:spacing w:after="240"/>
      <w:jc w:val="both"/>
    </w:pPr>
    <w:rPr>
      <w:lang w:val="en-US" w:eastAsia="en-US"/>
    </w:rPr>
  </w:style>
  <w:style w:type="character" w:styleId="Hyperlink">
    <w:name w:val="Hyperlink"/>
    <w:basedOn w:val="DefaultParagraphFont"/>
    <w:uiPriority w:val="99"/>
    <w:unhideWhenUsed/>
    <w:rsid w:val="007D3DB1"/>
    <w:rPr>
      <w:color w:val="0000FF" w:themeColor="hyperlink"/>
      <w:u w:val="single"/>
    </w:rPr>
  </w:style>
  <w:style w:type="character" w:styleId="UnresolvedMention">
    <w:name w:val="Unresolved Mention"/>
    <w:basedOn w:val="DefaultParagraphFont"/>
    <w:uiPriority w:val="99"/>
    <w:semiHidden/>
    <w:unhideWhenUsed/>
    <w:rsid w:val="007D3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78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ouedraogo@wa.acfspain.org" TargetMode="External"/><Relationship Id="rId4" Type="http://schemas.openxmlformats.org/officeDocument/2006/relationships/settings" Target="settings.xml"/><Relationship Id="rId9" Type="http://schemas.openxmlformats.org/officeDocument/2006/relationships/hyperlink" Target="mailto:Lmbodj@wa.acfspa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LkVQBRNdHtTrqR3PuOwo8kIlw==">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3153</Words>
  <Characters>17345</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Fatimata Emmanuelle NIANG</dc:creator>
  <cp:lastModifiedBy>Abdoulaye Ouedraogo</cp:lastModifiedBy>
  <cp:revision>2</cp:revision>
  <dcterms:created xsi:type="dcterms:W3CDTF">2021-11-29T14:39:00Z</dcterms:created>
  <dcterms:modified xsi:type="dcterms:W3CDTF">2021-11-29T14:39:00Z</dcterms:modified>
</cp:coreProperties>
</file>